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04df" w14:paraId="d5d04d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1297C" w:rsidR="00F1297C" w:rsidRPr="00F1297C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297C" w:rsidRPr="00F1297C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1297C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F1297C">
        <w:rPr>
          <w:rFonts w:cs="Times New Roman" w:eastAsia="Times New Roman"/>
          <w:lang w:eastAsia="hr-HR" w:val="en-AU"/>
        </w:rPr>
        <w:t xml:space="preserve">            </w:t>
      </w:r>
      <w:r w:rsidRPr="00F1297C">
        <w:rPr>
          <w:rFonts w:cs="Times New Roman" w:eastAsia="Times New Roman"/>
          <w:lang w:eastAsia="hr-HR" w:val="en-AU"/>
        </w:rPr>
        <w:tab/>
      </w:r>
      <w:r w:rsidRPr="00F1297C">
        <w:rPr>
          <w:rFonts w:cs="Times New Roman" w:eastAsia="Times New Roman"/>
          <w:lang w:eastAsia="hr-HR" w:val="en-AU"/>
        </w:rPr>
        <w:tab/>
      </w:r>
      <w:r w:rsidRPr="00F1297C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1297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1297C">
        <w:rPr>
          <w:rFonts w:cs="Times New Roman" w:eastAsia="Times New Roman"/>
          <w:b/>
          <w:lang w:eastAsia="hr-HR" w:val="en-AU"/>
        </w:rPr>
        <w:t xml:space="preserve">: 14. </w:t>
      </w:r>
      <w:r w:rsidRPr="00F1297C">
        <w:rPr>
          <w:rFonts w:cs="Times New Roman" w:eastAsia="Times New Roman"/>
          <w:b/>
          <w:lang w:eastAsia="hr-HR"/>
        </w:rPr>
        <w:t>St-96/2017.</w:t>
      </w:r>
    </w:p>
    <w:p w:rsidRDefault="00F1297C" w:rsidP="00F1297C" w:rsidR="00F1297C" w:rsidRPr="00F1297C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F1297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1297C">
        <w:rPr>
          <w:rFonts w:cs="Times New Roman" w:eastAsia="Times New Roman"/>
          <w:b/>
          <w:szCs w:val="20"/>
          <w:lang w:eastAsia="hr-HR"/>
        </w:rPr>
        <w:t xml:space="preserve"> 6. - 21 000  S P L I T</w:t>
      </w:r>
    </w:p>
    <w:p w:rsidRDefault="00F1297C" w:rsidP="00F1297C" w:rsidR="00F1297C" w:rsidRPr="00F129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1297C" w:rsidP="00F1297C" w:rsidR="00F1297C" w:rsidRPr="00F129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1297C" w:rsidP="00F1297C" w:rsidR="00F1297C" w:rsidRPr="00F1297C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1297C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F1297C" w:rsidP="00F1297C" w:rsidR="00F1297C" w:rsidRPr="00F129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297C" w:rsidP="00F1297C" w:rsidR="00F1297C" w:rsidRPr="00F1297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297C">
        <w:rPr>
          <w:rFonts w:cs="Times New Roman" w:eastAsia="Times New Roman"/>
          <w:b/>
          <w:lang w:eastAsia="hr-HR"/>
        </w:rPr>
        <w:t>Z A K L J U Č A K</w:t>
      </w:r>
    </w:p>
    <w:p w:rsidRDefault="00F1297C" w:rsidP="00F1297C" w:rsidR="00F1297C" w:rsidRPr="00F129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1297C" w:rsidP="00F1297C" w:rsidR="00F1297C" w:rsidRPr="00F129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 w:val="en-US"/>
        </w:rPr>
      </w:pPr>
      <w:r w:rsidRPr="00F1297C">
        <w:rPr>
          <w:rFonts w:cs="Times New Roman" w:eastAsia="Times New Roman"/>
          <w:lang w:eastAsia="hr-HR" w:val="en-US"/>
        </w:rPr>
        <w:tab/>
      </w:r>
      <w:proofErr w:type="spellStart"/>
      <w:r w:rsidRPr="00F1297C">
        <w:rPr>
          <w:rFonts w:cs="Times New Roman" w:eastAsia="Times New Roman"/>
          <w:lang w:eastAsia="hr-HR" w:val="en-US"/>
        </w:rPr>
        <w:t>Trgovački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297C">
        <w:rPr>
          <w:rFonts w:cs="Times New Roman" w:eastAsia="Times New Roman"/>
          <w:lang w:eastAsia="hr-HR" w:val="en-US"/>
        </w:rPr>
        <w:t>sud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1297C">
        <w:rPr>
          <w:rFonts w:cs="Times New Roman" w:eastAsia="Times New Roman"/>
          <w:lang w:eastAsia="hr-HR" w:val="en-US"/>
        </w:rPr>
        <w:t>Splitu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1297C">
        <w:rPr>
          <w:rFonts w:cs="Times New Roman" w:eastAsia="Times New Roman"/>
          <w:lang w:eastAsia="hr-HR" w:val="en-US"/>
        </w:rPr>
        <w:t>po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297C">
        <w:rPr>
          <w:rFonts w:cs="Times New Roman" w:eastAsia="Times New Roman"/>
          <w:lang w:eastAsia="hr-HR" w:val="en-US"/>
        </w:rPr>
        <w:t>sudcu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297C">
        <w:rPr>
          <w:rFonts w:cs="Times New Roman" w:eastAsia="Times New Roman"/>
          <w:lang w:eastAsia="hr-HR" w:val="en-US"/>
        </w:rPr>
        <w:t>Jozi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297C">
        <w:rPr>
          <w:rFonts w:cs="Times New Roman" w:eastAsia="Times New Roman"/>
          <w:lang w:eastAsia="hr-HR" w:val="en-US"/>
        </w:rPr>
        <w:t>Ćaleti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1297C">
        <w:rPr>
          <w:rFonts w:cs="Times New Roman" w:eastAsia="Times New Roman"/>
          <w:lang w:eastAsia="hr-HR" w:val="en-US"/>
        </w:rPr>
        <w:t>predstečajnom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297C">
        <w:rPr>
          <w:rFonts w:cs="Times New Roman" w:eastAsia="Times New Roman"/>
          <w:lang w:eastAsia="hr-HR" w:val="en-US"/>
        </w:rPr>
        <w:t>postupku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297C">
        <w:rPr>
          <w:rFonts w:cs="Times New Roman" w:eastAsia="Times New Roman"/>
          <w:lang w:eastAsia="hr-HR" w:val="en-US"/>
        </w:rPr>
        <w:t>nad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297C">
        <w:rPr>
          <w:rFonts w:cs="Times New Roman" w:eastAsia="Times New Roman"/>
          <w:lang w:eastAsia="hr-HR" w:val="en-US"/>
        </w:rPr>
        <w:t>dužnikom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: KAPPA HRVATSKA, </w:t>
      </w:r>
      <w:proofErr w:type="spellStart"/>
      <w:r w:rsidRPr="00F1297C">
        <w:rPr>
          <w:rFonts w:cs="Times New Roman" w:eastAsia="Times New Roman"/>
          <w:lang w:eastAsia="hr-HR" w:val="en-US"/>
        </w:rPr>
        <w:t>d.o.o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F1297C">
        <w:rPr>
          <w:rFonts w:cs="Times New Roman" w:eastAsia="Times New Roman"/>
          <w:lang w:eastAsia="hr-HR" w:val="en-US"/>
        </w:rPr>
        <w:t>Imotski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F1297C">
        <w:rPr>
          <w:rFonts w:cs="Times New Roman" w:eastAsia="Times New Roman"/>
          <w:lang w:eastAsia="hr-HR" w:val="en-US"/>
        </w:rPr>
        <w:t>Imotski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), Fra </w:t>
      </w:r>
      <w:proofErr w:type="spellStart"/>
      <w:r w:rsidRPr="00F1297C">
        <w:rPr>
          <w:rFonts w:cs="Times New Roman" w:eastAsia="Times New Roman"/>
          <w:lang w:eastAsia="hr-HR" w:val="en-US"/>
        </w:rPr>
        <w:t>Rajmonda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297C">
        <w:rPr>
          <w:rFonts w:cs="Times New Roman" w:eastAsia="Times New Roman"/>
          <w:lang w:eastAsia="hr-HR" w:val="en-US"/>
        </w:rPr>
        <w:t>Rudeža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1, OIB: 95243098448, 27. </w:t>
      </w:r>
      <w:proofErr w:type="spellStart"/>
      <w:r w:rsidRPr="00F1297C">
        <w:rPr>
          <w:rFonts w:cs="Times New Roman" w:eastAsia="Times New Roman"/>
          <w:lang w:eastAsia="hr-HR" w:val="en-US"/>
        </w:rPr>
        <w:t>veljače</w:t>
      </w:r>
      <w:proofErr w:type="spellEnd"/>
      <w:r w:rsidRPr="00F1297C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F1297C">
        <w:rPr>
          <w:rFonts w:cs="Times New Roman" w:eastAsia="Times New Roman"/>
          <w:lang w:eastAsia="hr-HR" w:val="en-US"/>
        </w:rPr>
        <w:t>izvanraspravno</w:t>
      </w:r>
      <w:proofErr w:type="spellEnd"/>
      <w:r w:rsidRPr="00F1297C">
        <w:rPr>
          <w:rFonts w:cs="Times New Roman" w:eastAsia="Times New Roman"/>
          <w:lang w:eastAsia="hr-HR" w:val="en-US"/>
        </w:rPr>
        <w:t>,</w:t>
      </w:r>
    </w:p>
    <w:p w:rsidRDefault="00F1297C" w:rsidP="00F1297C" w:rsidR="00F1297C" w:rsidRPr="00F129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297C" w:rsidP="00F1297C" w:rsidR="00F1297C" w:rsidRPr="00F129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297C" w:rsidP="00F1297C" w:rsidR="00F1297C" w:rsidRPr="00F1297C">
      <w:pPr>
        <w:spacing w:after="0"/>
        <w:jc w:val="center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lang w:eastAsia="hr-HR"/>
        </w:rPr>
        <w:t>z a k l j u č i o    j e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lang w:eastAsia="hr-HR"/>
        </w:rPr>
        <w:t xml:space="preserve">          U </w:t>
      </w:r>
      <w:proofErr w:type="spellStart"/>
      <w:r w:rsidRPr="00F1297C">
        <w:rPr>
          <w:rFonts w:cs="Times New Roman" w:eastAsia="Times New Roman"/>
          <w:lang w:eastAsia="hr-HR"/>
        </w:rPr>
        <w:t>predstečajnom</w:t>
      </w:r>
      <w:proofErr w:type="spellEnd"/>
      <w:r w:rsidRPr="00F1297C">
        <w:rPr>
          <w:rFonts w:cs="Times New Roman" w:eastAsia="Times New Roman"/>
          <w:lang w:eastAsia="hr-HR"/>
        </w:rPr>
        <w:t xml:space="preserve"> postupku nad dužnikom: KAPPA HRVATSKA, d.o.o., Imotski (Grad Imotski), Fra </w:t>
      </w:r>
      <w:proofErr w:type="spellStart"/>
      <w:r w:rsidRPr="00F1297C">
        <w:rPr>
          <w:rFonts w:cs="Times New Roman" w:eastAsia="Times New Roman"/>
          <w:lang w:eastAsia="hr-HR"/>
        </w:rPr>
        <w:t>Rajmonda</w:t>
      </w:r>
      <w:proofErr w:type="spellEnd"/>
      <w:r w:rsidRPr="00F1297C">
        <w:rPr>
          <w:rFonts w:cs="Times New Roman" w:eastAsia="Times New Roman"/>
          <w:lang w:eastAsia="hr-HR"/>
        </w:rPr>
        <w:t xml:space="preserve"> </w:t>
      </w:r>
      <w:proofErr w:type="spellStart"/>
      <w:r w:rsidRPr="00F1297C">
        <w:rPr>
          <w:rFonts w:cs="Times New Roman" w:eastAsia="Times New Roman"/>
          <w:lang w:eastAsia="hr-HR"/>
        </w:rPr>
        <w:t>Rudeža</w:t>
      </w:r>
      <w:proofErr w:type="spellEnd"/>
      <w:r w:rsidRPr="00F1297C">
        <w:rPr>
          <w:rFonts w:cs="Times New Roman" w:eastAsia="Times New Roman"/>
          <w:lang w:eastAsia="hr-HR"/>
        </w:rPr>
        <w:t xml:space="preserve"> 1, OIB: 95243098448, određuje se na mrežnoj stranici e-Oglasna ploča sudova objaviti Prijedlog Dužnika za otvaranje </w:t>
      </w:r>
      <w:proofErr w:type="spellStart"/>
      <w:r w:rsidRPr="00F1297C">
        <w:rPr>
          <w:rFonts w:cs="Times New Roman" w:eastAsia="Times New Roman"/>
          <w:lang w:eastAsia="hr-HR"/>
        </w:rPr>
        <w:t>predstečajnog</w:t>
      </w:r>
      <w:proofErr w:type="spellEnd"/>
      <w:r w:rsidRPr="00F1297C">
        <w:rPr>
          <w:rFonts w:cs="Times New Roman" w:eastAsia="Times New Roman"/>
          <w:lang w:eastAsia="hr-HR"/>
        </w:rPr>
        <w:t xml:space="preserve"> postupka zajedno sa Planom restrukturiranja Dužnika, listovi: 1–50, što omaškom nije objavljeno 21. veljače 2017. zajedno sa Rješenjem o otvaranju </w:t>
      </w:r>
      <w:proofErr w:type="spellStart"/>
      <w:r w:rsidRPr="00F1297C">
        <w:rPr>
          <w:rFonts w:cs="Times New Roman" w:eastAsia="Times New Roman"/>
          <w:lang w:eastAsia="hr-HR"/>
        </w:rPr>
        <w:t>predstečajnog</w:t>
      </w:r>
      <w:proofErr w:type="spellEnd"/>
      <w:r w:rsidRPr="00F1297C">
        <w:rPr>
          <w:rFonts w:cs="Times New Roman" w:eastAsia="Times New Roman"/>
          <w:lang w:eastAsia="hr-HR"/>
        </w:rPr>
        <w:t xml:space="preserve"> postupka nad istim Dužnikom, iako je to određeno točkom IX tog Rješenja, sve sukladno članku 34, stavku 4, Stečajnog zakona (Narodne novine, br.: 71/15, SZ). 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lang w:eastAsia="hr-HR"/>
        </w:rPr>
        <w:t>Rok objave naprijed navedenog na mrežnoj stranici e-Oglasna ploča sudova je do: 21. travnja 2017.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lang w:eastAsia="hr-HR"/>
        </w:rPr>
        <w:t xml:space="preserve"> </w:t>
      </w:r>
    </w:p>
    <w:p w:rsidRDefault="00F1297C" w:rsidP="00F1297C" w:rsidR="00F1297C" w:rsidRPr="00F1297C">
      <w:pPr>
        <w:spacing w:after="0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lang w:eastAsia="hr-HR"/>
        </w:rPr>
        <w:t xml:space="preserve">                                                    Split, 27. veljače 2017.</w:t>
      </w:r>
    </w:p>
    <w:p w:rsidRDefault="00F1297C" w:rsidP="00F1297C" w:rsidR="00F1297C" w:rsidRPr="00F1297C">
      <w:pPr>
        <w:spacing w:after="0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u w:val="single"/>
          <w:lang w:eastAsia="hr-HR"/>
        </w:rPr>
        <w:t>Pravna pouka:</w:t>
      </w:r>
      <w:r w:rsidRPr="00F1297C">
        <w:rPr>
          <w:rFonts w:cs="Times New Roman" w:eastAsia="Times New Roman"/>
          <w:lang w:eastAsia="hr-HR"/>
        </w:rPr>
        <w:t xml:space="preserve"> Protiv ovog Zaključka nije dopušten pravni lijek (čl. 19., st. 7., SZ). 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1297C">
        <w:rPr>
          <w:rFonts w:cs="Times New Roman" w:eastAsia="Times New Roman"/>
          <w:u w:val="single"/>
          <w:lang w:eastAsia="hr-HR"/>
        </w:rPr>
        <w:t>DNA:</w:t>
      </w:r>
      <w:r w:rsidRPr="00F1297C">
        <w:rPr>
          <w:rFonts w:cs="Times New Roman" w:eastAsia="Times New Roman"/>
          <w:lang w:eastAsia="hr-HR"/>
        </w:rPr>
        <w:t xml:space="preserve">  1. Mrežna stranica </w:t>
      </w:r>
      <w:r w:rsidRPr="00F1297C">
        <w:rPr>
          <w:rFonts w:cs="Times New Roman" w:eastAsia="Times New Roman"/>
          <w:bCs/>
          <w:lang w:eastAsia="hr-HR"/>
        </w:rPr>
        <w:t xml:space="preserve">e-Oglasna ploča sudova – rok </w:t>
      </w:r>
      <w:r w:rsidRPr="00F1297C">
        <w:rPr>
          <w:rFonts w:cs="Times New Roman" w:eastAsia="Times New Roman"/>
          <w:lang w:eastAsia="hr-HR"/>
        </w:rPr>
        <w:t>do: 21. travnja 2017,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lang w:eastAsia="hr-HR"/>
        </w:rPr>
        <w:t xml:space="preserve">            2.  Spis.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  <w:r w:rsidRPr="00F1297C">
        <w:rPr>
          <w:rFonts w:cs="Times New Roman" w:eastAsia="Times New Roman"/>
          <w:lang w:eastAsia="hr-HR"/>
        </w:rPr>
        <w:t>Split, 27. veljače 2017.                                                     S U D A C: Jozo Ćaleta,</w:t>
      </w: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97C" w:rsidP="00F1297C" w:rsidR="00F1297C" w:rsidRPr="00F129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97C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45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St-96/2017-13</izvorni_sadrzaj>
    <derivirana_varijabla naziv="DomainObject.Oznaka_1">St-96/2017-13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St-96/2017-13</izvorni_sadrzaj>
    <derivirana_varijabla naziv="DomainObject.PoslovniBrojDokumenta_1">St-96/2017-13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22875-7C63-499F-8202-F222A5F33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228</properties:Words>
  <properties:Characters>1079</properties:Characters>
  <properties:Lines>50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2017-02-27T07:24:00Z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St-96/2017-13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