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91365B" w:rsidR="0091365B">
        <w:trPr>
          <w:trHeight w:val="2231"/>
        </w:trPr>
        <w:tc>
          <w:tcPr>
            <w:tcW w:type="dxa" w:w="3369"/>
            <w:vAlign w:val="center"/>
            <w:hideMark/>
          </w:tcPr>
          <w:p w:rsidRDefault="0091365B" w:rsidR="0091365B">
            <w:pPr>
              <w:spacing w:before="100"/>
              <w:jc w:val="center"/>
              <w:rPr>
                <w:lang w:eastAsia="hr-HR"/>
              </w:rPr>
            </w:pPr>
            <w:bookmarkStart w:name="_GoBack" w:id="0"/>
            <w:bookmarkEnd w:id="0"/>
            <w:r>
              <w:rPr>
                <w:noProof/>
                <w:lang w:eastAsia="hr-HR"/>
              </w:rPr>
              <w:drawing>
                <wp:inline distR="0" distL="0" distB="0" distT="0">
                  <wp:extent cy="724535" cx="543560"/>
                  <wp:effectExtent b="0" r="8890" t="0" l="0"/>
                  <wp:docPr name="Slika 1" id="1"/>
                  <wp:cNvGraphicFramePr>
                    <a:graphicFrameLocks noChangeAspect="true"/>
                  </wp:cNvGraphicFramePr>
                  <a:graphic>
                    <a:graphicData uri="http://schemas.openxmlformats.org/drawingml/2006/picture">
                      <pic:pic>
                        <pic:nvPicPr>
                          <pic:cNvPr name="Slika 4"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43560"/>
                          </a:xfrm>
                          <a:prstGeom prst="rect">
                            <a:avLst/>
                          </a:prstGeom>
                          <a:noFill/>
                          <a:ln>
                            <a:noFill/>
                          </a:ln>
                        </pic:spPr>
                      </pic:pic>
                    </a:graphicData>
                  </a:graphic>
                </wp:inline>
              </w:drawing>
            </w:r>
          </w:p>
          <w:p w:rsidRDefault="0091365B" w:rsidR="0091365B">
            <w:pPr>
              <w:spacing w:before="100"/>
              <w:rPr>
                <w:lang w:eastAsia="hr-HR"/>
              </w:rPr>
            </w:pPr>
            <w:r>
              <w:rPr>
                <w:lang w:eastAsia="hr-HR"/>
              </w:rPr>
              <w:t>REPUBLIKA HRVATSKA</w:t>
            </w:r>
          </w:p>
          <w:p w:rsidRDefault="0091365B" w:rsidR="0091365B">
            <w:pPr>
              <w:rPr>
                <w:lang w:eastAsia="hr-HR"/>
              </w:rPr>
            </w:pPr>
            <w:r>
              <w:rPr>
                <w:lang w:eastAsia="hr-HR"/>
              </w:rPr>
              <w:t>TRGOVAČKI SUD U SPLITU</w:t>
            </w:r>
          </w:p>
          <w:p w:rsidRDefault="0091365B" w:rsidR="0091365B">
            <w:pPr>
              <w:rPr>
                <w:lang w:eastAsia="hr-HR"/>
              </w:rPr>
            </w:pPr>
            <w:r>
              <w:rPr>
                <w:lang w:eastAsia="hr-HR"/>
              </w:rPr>
              <w:t>Split, Sukoišanska 6</w:t>
            </w:r>
          </w:p>
        </w:tc>
        <w:tc>
          <w:tcPr>
            <w:tcW w:type="dxa" w:w="5811"/>
          </w:tcPr>
          <w:p w:rsidRDefault="0091365B" w:rsidR="0091365B">
            <w:pPr>
              <w:jc w:val="both"/>
              <w:rPr>
                <w:lang w:eastAsia="hr-HR"/>
              </w:rPr>
            </w:pPr>
          </w:p>
          <w:p w:rsidRDefault="0091365B" w:rsidR="0091365B">
            <w:pPr>
              <w:jc w:val="both"/>
              <w:rPr>
                <w:lang w:eastAsia="hr-HR"/>
              </w:rPr>
            </w:pPr>
          </w:p>
          <w:p w:rsidRDefault="0091365B" w:rsidR="0091365B">
            <w:pPr>
              <w:jc w:val="both"/>
              <w:rPr>
                <w:lang w:eastAsia="hr-HR"/>
              </w:rPr>
            </w:pPr>
          </w:p>
          <w:p w:rsidRDefault="0091365B" w:rsidR="0091365B">
            <w:pPr>
              <w:jc w:val="right"/>
              <w:rPr>
                <w:lang w:eastAsia="hr-HR"/>
              </w:rPr>
            </w:pPr>
          </w:p>
          <w:p w:rsidRDefault="0091365B" w:rsidR="0091365B">
            <w:pPr>
              <w:jc w:val="right"/>
              <w:rPr>
                <w:lang w:eastAsia="hr-HR"/>
              </w:rPr>
            </w:pPr>
          </w:p>
          <w:p w:rsidRDefault="0091365B" w:rsidR="0091365B">
            <w:pPr>
              <w:jc w:val="right"/>
              <w:rPr>
                <w:noProof/>
                <w:lang w:eastAsia="hr-HR"/>
              </w:rPr>
            </w:pPr>
          </w:p>
          <w:p w:rsidRDefault="0091365B" w:rsidR="0091365B">
            <w:pPr>
              <w:jc w:val="right"/>
              <w:rPr>
                <w:noProof/>
                <w:lang w:eastAsia="hr-HR"/>
              </w:rPr>
            </w:pPr>
          </w:p>
          <w:p w:rsidRDefault="0091365B" w:rsidR="0091365B">
            <w:pPr>
              <w:jc w:val="right"/>
              <w:rPr>
                <w:noProof/>
                <w:lang w:eastAsia="hr-HR"/>
              </w:rPr>
            </w:pPr>
          </w:p>
          <w:p w:rsidRDefault="0091365B" w:rsidP="00A20C99" w:rsidR="0091365B">
            <w:pPr>
              <w:jc w:val="right"/>
              <w:rPr>
                <w:noProof/>
                <w:lang w:eastAsia="hr-HR"/>
              </w:rPr>
            </w:pPr>
            <w:r>
              <w:rPr>
                <w:noProof/>
                <w:lang w:eastAsia="hr-HR"/>
              </w:rPr>
              <w:t>Poslovni broj: 11.St-</w:t>
            </w:r>
            <w:r w:rsidR="00A20C99">
              <w:rPr>
                <w:noProof/>
                <w:lang w:eastAsia="hr-HR"/>
              </w:rPr>
              <w:t>1644</w:t>
            </w:r>
            <w:r w:rsidR="00B751AE">
              <w:rPr>
                <w:noProof/>
                <w:lang w:eastAsia="hr-HR"/>
              </w:rPr>
              <w:t>/2016-</w:t>
            </w:r>
            <w:r w:rsidR="00A20C99">
              <w:rPr>
                <w:noProof/>
                <w:lang w:eastAsia="hr-HR"/>
              </w:rPr>
              <w:t>54</w:t>
            </w:r>
          </w:p>
        </w:tc>
      </w:tr>
    </w:tbl>
    <w:p w14:textId="be88304" w14:paraId="be88304" w:rsidRDefault="0091365B" w:rsidP="0091365B" w:rsidR="0091365B">
      <w:pPr>
        <w:spacing w:after="200" w:before="200"/>
        <w:jc w:val="center"/>
        <w15:collapsed w:val="false"/>
        <w:rPr>
          <w:spacing w:val="60"/>
        </w:rPr>
      </w:pPr>
      <w:r>
        <w:rPr>
          <w:spacing w:val="60"/>
        </w:rPr>
        <w:t>REPUBLIKA HRVATSKA</w:t>
      </w:r>
    </w:p>
    <w:p w:rsidRDefault="0091365B" w:rsidP="001B428B" w:rsidR="0091365B">
      <w:pPr>
        <w:spacing w:after="200" w:before="300"/>
        <w:jc w:val="center"/>
        <w:rPr>
          <w:bCs/>
          <w:spacing w:val="60"/>
        </w:rPr>
      </w:pPr>
      <w:r>
        <w:rPr>
          <w:bCs/>
          <w:spacing w:val="60"/>
        </w:rPr>
        <w:t>RJEŠENJE</w:t>
      </w:r>
    </w:p>
    <w:p w:rsidRDefault="0091365B" w:rsidP="0091365B" w:rsidR="0091365B">
      <w:pPr>
        <w:spacing w:before="220"/>
        <w:ind w:firstLine="709"/>
        <w:jc w:val="both"/>
        <w:rPr>
          <w:b/>
        </w:rPr>
      </w:pPr>
      <w:r>
        <w:t>Trgovački sud u Splitu, po stečajnoj sutkinji Ani Golub Gruić, u postupku povodom prijedloga FINANCIJSKE AGENCIJE, Regionalni centar Split, Mažuranićevo šetalište 24b, OIB: 85821130368, za otvaranje stečajnog postupka nad</w:t>
      </w:r>
      <w:r w:rsidR="00321415">
        <w:t xml:space="preserve"> dužnikom</w:t>
      </w:r>
      <w:r>
        <w:t xml:space="preserve"> </w:t>
      </w:r>
      <w:r w:rsidR="00A20C99" w:rsidRPr="00A20C99">
        <w:t>OREB d.o.o., OIB: 62215643904, Split, Pujanke 85</w:t>
      </w:r>
      <w:r>
        <w:t xml:space="preserve">, </w:t>
      </w:r>
      <w:r w:rsidR="001A5335">
        <w:t>1</w:t>
      </w:r>
      <w:r w:rsidR="0047353E">
        <w:t>6</w:t>
      </w:r>
      <w:r w:rsidR="00321415">
        <w:t>. siječnja 2019.</w:t>
      </w:r>
      <w:r>
        <w:t xml:space="preserve"> </w:t>
      </w:r>
    </w:p>
    <w:p w:rsidRDefault="0091365B" w:rsidP="00A20C99" w:rsidR="0091365B">
      <w:pPr>
        <w:tabs>
          <w:tab w:pos="4536" w:val="center"/>
          <w:tab w:pos="7095" w:val="left"/>
        </w:tabs>
        <w:spacing w:after="220" w:before="220"/>
      </w:pPr>
      <w:r>
        <w:rPr>
          <w:bCs/>
        </w:rPr>
        <w:tab/>
        <w:t>r i j e š i o  j e</w:t>
      </w:r>
      <w:r>
        <w:t xml:space="preserve"> </w:t>
      </w:r>
      <w:r>
        <w:tab/>
      </w:r>
    </w:p>
    <w:p w:rsidRDefault="0091365B" w:rsidP="00FD57A0" w:rsidR="00FD57A0">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I. Otvara se stečajni postupak nad dužnikom </w:t>
      </w:r>
      <w:r w:rsidR="00A20C99" w:rsidRPr="00A20C99">
        <w:rPr>
          <w:rFonts w:cs="Times New Roman" w:hAnsi="Times New Roman" w:ascii="Times New Roman"/>
          <w:sz w:val="24"/>
          <w:szCs w:val="24"/>
        </w:rPr>
        <w:t>OREB d.o.o., OIB: 62215643904, Split, Pujanke 85</w:t>
      </w:r>
      <w:r w:rsidR="00FD57A0">
        <w:rPr>
          <w:rFonts w:cs="Times New Roman" w:hAnsi="Times New Roman" w:ascii="Times New Roman"/>
          <w:sz w:val="24"/>
          <w:szCs w:val="24"/>
        </w:rPr>
        <w:t>.</w:t>
      </w:r>
    </w:p>
    <w:p w:rsidRDefault="0091365B" w:rsidP="00A20C99" w:rsidR="0091365B" w:rsidRPr="00843869">
      <w:pPr>
        <w:pStyle w:val="Bezproreda"/>
        <w:spacing w:before="100"/>
        <w:ind w:firstLine="709"/>
        <w:jc w:val="both"/>
        <w:rPr>
          <w:rFonts w:cs="Times New Roman" w:hAnsi="Times New Roman" w:ascii="Times New Roman"/>
          <w:sz w:val="24"/>
          <w:szCs w:val="24"/>
        </w:rPr>
      </w:pPr>
      <w:r>
        <w:rPr>
          <w:rFonts w:cs="Times New Roman" w:hAnsi="Times New Roman" w:ascii="Times New Roman"/>
          <w:sz w:val="24"/>
          <w:szCs w:val="24"/>
        </w:rPr>
        <w:t xml:space="preserve"> II. Steča</w:t>
      </w:r>
      <w:r w:rsidR="00F13D03">
        <w:rPr>
          <w:rFonts w:cs="Times New Roman" w:hAnsi="Times New Roman" w:ascii="Times New Roman"/>
          <w:sz w:val="24"/>
          <w:szCs w:val="24"/>
        </w:rPr>
        <w:t xml:space="preserve">jni postupak otvoren </w:t>
      </w:r>
      <w:r w:rsidR="00321415">
        <w:rPr>
          <w:rFonts w:cs="Times New Roman" w:hAnsi="Times New Roman" w:ascii="Times New Roman"/>
          <w:sz w:val="24"/>
          <w:szCs w:val="24"/>
        </w:rPr>
        <w:t xml:space="preserve">je </w:t>
      </w:r>
      <w:r w:rsidR="00B751AE">
        <w:rPr>
          <w:rFonts w:cs="Times New Roman" w:hAnsi="Times New Roman" w:ascii="Times New Roman"/>
          <w:sz w:val="24"/>
          <w:szCs w:val="24"/>
        </w:rPr>
        <w:t>1</w:t>
      </w:r>
      <w:r w:rsidR="0047353E">
        <w:rPr>
          <w:rFonts w:cs="Times New Roman" w:hAnsi="Times New Roman" w:ascii="Times New Roman"/>
          <w:sz w:val="24"/>
          <w:szCs w:val="24"/>
        </w:rPr>
        <w:t>6</w:t>
      </w:r>
      <w:r w:rsidR="00321415">
        <w:rPr>
          <w:rFonts w:cs="Times New Roman" w:hAnsi="Times New Roman" w:ascii="Times New Roman"/>
          <w:sz w:val="24"/>
          <w:szCs w:val="24"/>
        </w:rPr>
        <w:t>. siječnja 2019</w:t>
      </w:r>
      <w:r w:rsidR="00232A60">
        <w:rPr>
          <w:rFonts w:cs="Times New Roman" w:hAnsi="Times New Roman" w:ascii="Times New Roman"/>
          <w:sz w:val="24"/>
          <w:szCs w:val="24"/>
        </w:rPr>
        <w:t>. u</w:t>
      </w:r>
      <w:r w:rsidRPr="00E46C29">
        <w:rPr>
          <w:rFonts w:cs="Times New Roman" w:hAnsi="Times New Roman" w:ascii="Times New Roman"/>
          <w:sz w:val="24"/>
          <w:szCs w:val="24"/>
        </w:rPr>
        <w:t xml:space="preserve"> </w:t>
      </w:r>
      <w:r w:rsidR="006874D9">
        <w:rPr>
          <w:rFonts w:cs="Times New Roman" w:hAnsi="Times New Roman" w:ascii="Times New Roman"/>
          <w:sz w:val="24"/>
          <w:szCs w:val="24"/>
        </w:rPr>
        <w:t>1</w:t>
      </w:r>
      <w:r w:rsidR="0047353E">
        <w:rPr>
          <w:rFonts w:cs="Times New Roman" w:hAnsi="Times New Roman" w:ascii="Times New Roman"/>
          <w:sz w:val="24"/>
          <w:szCs w:val="24"/>
        </w:rPr>
        <w:t>1</w:t>
      </w:r>
      <w:r w:rsidR="00725507">
        <w:rPr>
          <w:rFonts w:cs="Times New Roman" w:hAnsi="Times New Roman" w:ascii="Times New Roman"/>
          <w:sz w:val="24"/>
          <w:szCs w:val="24"/>
        </w:rPr>
        <w:t>:</w:t>
      </w:r>
      <w:r w:rsidR="00B55A5B">
        <w:rPr>
          <w:rFonts w:cs="Times New Roman" w:hAnsi="Times New Roman" w:ascii="Times New Roman"/>
          <w:sz w:val="24"/>
          <w:szCs w:val="24"/>
        </w:rPr>
        <w:t>0</w:t>
      </w:r>
      <w:r w:rsidR="00725507">
        <w:rPr>
          <w:rFonts w:cs="Times New Roman" w:hAnsi="Times New Roman" w:ascii="Times New Roman"/>
          <w:sz w:val="24"/>
          <w:szCs w:val="24"/>
        </w:rPr>
        <w:t>0</w:t>
      </w:r>
      <w:r w:rsidR="00232A60">
        <w:rPr>
          <w:rFonts w:cs="Times New Roman" w:hAnsi="Times New Roman" w:ascii="Times New Roman"/>
          <w:sz w:val="24"/>
          <w:szCs w:val="24"/>
        </w:rPr>
        <w:t xml:space="preserve"> </w:t>
      </w:r>
      <w:r w:rsidRPr="00E46C29">
        <w:rPr>
          <w:rFonts w:cs="Times New Roman" w:hAnsi="Times New Roman" w:ascii="Times New Roman"/>
          <w:sz w:val="24"/>
          <w:szCs w:val="24"/>
        </w:rPr>
        <w:t>sati</w:t>
      </w:r>
      <w:r>
        <w:rPr>
          <w:rFonts w:cs="Times New Roman" w:hAnsi="Times New Roman" w:ascii="Times New Roman"/>
          <w:sz w:val="24"/>
          <w:szCs w:val="24"/>
        </w:rPr>
        <w:t xml:space="preserve">, kada je ovo rješenje o otvaranju stečajnog </w:t>
      </w:r>
      <w:r w:rsidRPr="00843869">
        <w:rPr>
          <w:rFonts w:cs="Times New Roman" w:hAnsi="Times New Roman" w:ascii="Times New Roman"/>
          <w:sz w:val="24"/>
          <w:szCs w:val="24"/>
        </w:rPr>
        <w:t>postupka istaknuto na mrežnoj stranici e-Oglasna ploča sudova.</w:t>
      </w:r>
    </w:p>
    <w:p w:rsidRDefault="0091365B" w:rsidP="00A20C99" w:rsidR="0091365B" w:rsidRPr="00843869">
      <w:pPr>
        <w:pStyle w:val="Bezproreda"/>
        <w:spacing w:before="100"/>
        <w:ind w:firstLine="709"/>
        <w:jc w:val="both"/>
        <w:rPr>
          <w:rFonts w:cs="Times New Roman" w:hAnsi="Times New Roman" w:ascii="Times New Roman"/>
          <w:sz w:val="24"/>
          <w:szCs w:val="24"/>
        </w:rPr>
      </w:pPr>
      <w:r w:rsidRPr="00843869">
        <w:rPr>
          <w:rFonts w:cs="Times New Roman" w:hAnsi="Times New Roman" w:ascii="Times New Roman"/>
          <w:sz w:val="24"/>
          <w:szCs w:val="24"/>
        </w:rPr>
        <w:t>III. Stečajni upraviteljem imenuje</w:t>
      </w:r>
      <w:r w:rsidR="003E60FA">
        <w:rPr>
          <w:rFonts w:cs="Times New Roman" w:hAnsi="Times New Roman" w:ascii="Times New Roman"/>
          <w:sz w:val="24"/>
          <w:szCs w:val="24"/>
        </w:rPr>
        <w:t xml:space="preserve"> se</w:t>
      </w:r>
      <w:r w:rsidR="00B751AE" w:rsidRPr="00B751AE">
        <w:t xml:space="preserve"> </w:t>
      </w:r>
      <w:r w:rsidR="0047353E" w:rsidRPr="0047353E">
        <w:rPr>
          <w:rFonts w:cs="Times New Roman" w:hAnsi="Times New Roman" w:ascii="Times New Roman"/>
          <w:sz w:val="24"/>
          <w:szCs w:val="24"/>
        </w:rPr>
        <w:t>Domagoj Poljak iz Zagreba, Miramarska 26, OIB: 77663651000.</w:t>
      </w:r>
    </w:p>
    <w:p w:rsidRDefault="0091365B" w:rsidP="00A20C99" w:rsidR="0091365B" w:rsidRPr="00843869">
      <w:pPr>
        <w:pStyle w:val="Bezproreda"/>
        <w:spacing w:before="10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IV. Zaključuje se stečajni postupak nad dužnikom </w:t>
      </w:r>
      <w:r w:rsidR="00A20C99" w:rsidRPr="00A20C99">
        <w:rPr>
          <w:rFonts w:cs="Times New Roman" w:hAnsi="Times New Roman" w:ascii="Times New Roman"/>
          <w:sz w:val="24"/>
          <w:szCs w:val="24"/>
        </w:rPr>
        <w:t>OREB d.o.o., OIB: 62215643904, Split, Pujanke 85</w:t>
      </w:r>
      <w:r w:rsidR="00FD57A0">
        <w:rPr>
          <w:rFonts w:cs="Times New Roman" w:hAnsi="Times New Roman" w:ascii="Times New Roman"/>
          <w:sz w:val="24"/>
          <w:szCs w:val="24"/>
        </w:rPr>
        <w:t>.</w:t>
      </w:r>
    </w:p>
    <w:p w:rsidRDefault="0091365B" w:rsidP="00A20C99" w:rsidR="0091365B">
      <w:pPr>
        <w:pStyle w:val="Bezproreda"/>
        <w:spacing w:before="10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 V. Stečajni upravitelj ovlašten je i nakon</w:t>
      </w:r>
      <w:r>
        <w:rPr>
          <w:rFonts w:cs="Times New Roman" w:hAnsi="Times New Roman" w:ascii="Times New Roman"/>
          <w:sz w:val="24"/>
          <w:szCs w:val="24"/>
        </w:rPr>
        <w:t xml:space="preserve"> zaključenja stečajnog postupka u ime stečajnog dužnika, a za račun stečajne mase, unovčiti imovinu dužnika i prikupljenim sredstvima podmiriti nastale troškove stečajnog postupka, a eventualni ostatak uplatiti u Fond za pokriće troškova stečajnog postupka te o obavljenim radnjama podnijeti izvješće stečajnom sucu. </w:t>
      </w:r>
    </w:p>
    <w:p w:rsidRDefault="0091365B" w:rsidP="00A20C99" w:rsidR="0091365B">
      <w:pPr>
        <w:pStyle w:val="Bezproreda"/>
        <w:spacing w:before="100"/>
        <w:ind w:firstLine="709"/>
        <w:jc w:val="both"/>
        <w:rPr>
          <w:rFonts w:cs="Times New Roman" w:hAnsi="Times New Roman" w:ascii="Times New Roman"/>
          <w:sz w:val="24"/>
          <w:szCs w:val="24"/>
        </w:rPr>
      </w:pPr>
      <w:r>
        <w:rPr>
          <w:rFonts w:cs="Times New Roman" w:hAnsi="Times New Roman" w:ascii="Times New Roman"/>
          <w:sz w:val="24"/>
          <w:szCs w:val="24"/>
        </w:rPr>
        <w:t>VI. Po pravomoćnosti ovog rješenja dužnik će se brisati iz sudskog registra.</w:t>
      </w:r>
    </w:p>
    <w:p w:rsidRDefault="0091365B" w:rsidP="001B428B" w:rsidR="0091365B">
      <w:pPr>
        <w:spacing w:after="140" w:before="300"/>
        <w:jc w:val="center"/>
      </w:pPr>
      <w:r>
        <w:t>Obrazloženje</w:t>
      </w:r>
    </w:p>
    <w:p w:rsidRDefault="00A20C99" w:rsidP="00A20C99" w:rsidR="00A20C99" w:rsidRPr="00A20C99">
      <w:pPr>
        <w:spacing w:before="40"/>
        <w:ind w:firstLine="709"/>
        <w:jc w:val="both"/>
        <w:rPr>
          <w:rFonts w:eastAsia="Times New Roman"/>
          <w:lang w:eastAsia="hr-HR"/>
        </w:rPr>
      </w:pPr>
      <w:r w:rsidRPr="00A20C99">
        <w:rPr>
          <w:rFonts w:eastAsia="Times New Roman"/>
          <w:lang w:eastAsia="hr-HR"/>
        </w:rPr>
        <w:t>Financijska agencija, Regionalni centar Split, Podružnica Split, podnijela je ovom sudu 8. kolovoza 2016. prijedlog za otvaranje stečajnog postupka nad dužnikom OREB d.o.o., OIB: 62215643904, Split, Pujanke 85. U prijedlogu se navodi da dužnik na dan 8. srpnja 2016. u Očevidniku redoslijeda osnova za plaćanje ima evidentirane neizvršene osnove za plaćanja u neprekinutom razdoblju od 120 dana, u ukupnom iznosu od 22.796,63 kn, kao i da prema podacima koji su dostavljeni od Hrvatskog zavoda za mirovinsko osiguranje dužnik ima jednog zaposlenog.</w:t>
      </w:r>
    </w:p>
    <w:p w:rsidRDefault="00A20C99" w:rsidP="00A20C99" w:rsidR="00A20C99" w:rsidRPr="00A20C99">
      <w:pPr>
        <w:spacing w:before="160"/>
        <w:ind w:firstLine="708"/>
        <w:jc w:val="both"/>
        <w:rPr>
          <w:rFonts w:eastAsia="Times New Roman"/>
          <w:lang w:eastAsia="hr-HR"/>
        </w:rPr>
      </w:pPr>
      <w:r w:rsidRPr="00A20C99">
        <w:rPr>
          <w:rFonts w:eastAsia="Times New Roman"/>
          <w:lang w:eastAsia="hr-HR"/>
        </w:rPr>
        <w:t>Rješenjem ovog suda poslovni broj 11.St-1644/2016 od 19. travnja 2017. pokrenut je postupak radi utvrđenja uvjeta za otvaranje stečajnog postupka (prethodni postupak) i određeno je ročište radi očitovanja o prijedlogu za otvaranje stečajnog postupka za 7. srpnja 2017.</w:t>
      </w:r>
    </w:p>
    <w:p w:rsidRDefault="00A20C99" w:rsidP="00A20C99" w:rsidR="00A20C99" w:rsidRPr="00A20C99">
      <w:pPr>
        <w:spacing w:before="160"/>
        <w:ind w:firstLine="709"/>
        <w:jc w:val="both"/>
        <w:rPr>
          <w:rFonts w:eastAsia="Calibri"/>
          <w:lang w:eastAsia="hr-HR"/>
        </w:rPr>
      </w:pPr>
      <w:r w:rsidRPr="00A20C99">
        <w:rPr>
          <w:rFonts w:eastAsia="Times New Roman"/>
          <w:color w:val="000000"/>
          <w:lang w:eastAsia="hr-HR"/>
        </w:rPr>
        <w:lastRenderedPageBreak/>
        <w:t xml:space="preserve">Na predmetno ročište pristupila je zastupnica po zakonu dužnika koja je navela </w:t>
      </w:r>
      <w:r w:rsidRPr="00A20C99">
        <w:rPr>
          <w:rFonts w:eastAsia="Calibri"/>
          <w:lang w:eastAsia="hr-HR"/>
        </w:rPr>
        <w:t>da nije suglasna sa prijedlogom FINA-e za otvaranje stečajnog postupka. Stanje blokade da nije realno jer je dužnik pretplatio PDV i tražio preknjižbu te je podnio zahtjev Poreznoj upravi za smanjenje duga. Iz tog razloga molila je odgodu ročišta radi utvrđivanja uvjeta za otvaranje stečajnog postupka na jedan kraći rok kako bi pokušala sanirati dug, odnosno blokadu i dostaviti potvrdu FINA-e o deblokadi računa.</w:t>
      </w:r>
    </w:p>
    <w:p w:rsidRDefault="00A20C99" w:rsidP="00A20C99" w:rsidR="00A20C99" w:rsidRPr="00A20C99">
      <w:pPr>
        <w:spacing w:before="160"/>
        <w:jc w:val="both"/>
        <w:rPr>
          <w:rFonts w:eastAsia="Calibri"/>
          <w:lang w:eastAsia="hr-HR"/>
        </w:rPr>
      </w:pPr>
      <w:r w:rsidRPr="00A20C99">
        <w:rPr>
          <w:rFonts w:eastAsia="Calibri"/>
          <w:lang w:eastAsia="hr-HR"/>
        </w:rPr>
        <w:tab/>
        <w:t xml:space="preserve">Na ročištu radi rasprave o pretpostavkama za otvaranje stečajno postupka, održano 19. rujna 2017., zastupnica po zakonu dužnika i dalje se protivila prijedlogu FINA-e za otvaranje stečajnog postupka. Stanje blokade po iskazanoj potvrdi FINA-e da je nerealno te  je u spis predala knjigovodstvenu karticu poreznog obveznika za dužnika za 2017. Stvarni dug prema Republici Hrvatskoj - Ministarstvu financija - Poreznoj upravi da je 28.115,16 kn, a koji je spremna podmiriti u jednom kraćem roku. Dalje je istakla da je u tijeku provođenje prijeboja sa Poreznom upravom, a za iznos od 48.289,42 kn. Zbog navedenog, a posebno uzimajući u obzir da je još uvijek u radnom odnosu kod dužnika te uzimajući u obzir njenu procjenu da dužnik može opstati na tržištu, zamolila je od suda jednu kraću odgodu </w:t>
      </w:r>
      <w:r w:rsidR="000616B4">
        <w:rPr>
          <w:rFonts w:eastAsia="Calibri"/>
          <w:lang w:eastAsia="hr-HR"/>
        </w:rPr>
        <w:t>tog</w:t>
      </w:r>
      <w:r w:rsidRPr="00A20C99">
        <w:rPr>
          <w:rFonts w:eastAsia="Calibri"/>
          <w:lang w:eastAsia="hr-HR"/>
        </w:rPr>
        <w:t xml:space="preserve"> ročišta, a kako bi u spis dostavila potvrdu o deblokadi računa. Isto tako, istakla je da dužnik nema nikakvu likvidnu masu u svom vlasništvu te da i iz tog razloga smatra da postoji razlog za odgodu ročišta jer se vjerovnici u slučaju otvaranja stečaja ne bi imali odakle namiriti.</w:t>
      </w:r>
    </w:p>
    <w:p w:rsidRDefault="00A20C99" w:rsidP="00A20C99" w:rsidR="00A20C99" w:rsidRPr="00A20C99">
      <w:pPr>
        <w:spacing w:before="160"/>
        <w:ind w:firstLine="703"/>
        <w:jc w:val="both"/>
        <w:rPr>
          <w:rFonts w:eastAsia="Times New Roman"/>
          <w:color w:val="000000"/>
          <w:lang w:eastAsia="hr-HR"/>
        </w:rPr>
      </w:pPr>
      <w:r w:rsidRPr="00A20C99">
        <w:rPr>
          <w:rFonts w:eastAsia="Times New Roman"/>
          <w:color w:val="000000"/>
          <w:lang w:eastAsia="hr-HR"/>
        </w:rPr>
        <w:t>Na sljedeće ročište, održano 16. studenog 2017., nije pristupila zastupnica po zakonu dužnika, iako uredno pozvana pa je sud rješenjem 11.St-1644/2016 od 20. studenog 2017. dužniku postavio privremenog stečajnog upravitelja u osobi Ive Bučana kojem je naloženo da utvrdi imovinu stečajnog dužnika i njezinu vrijednost, stanje obveza stečajnog dužnika, je li imovina stečajnog dužnika dovoljna za namirenje troškova stečajnog postupka te koliki je iznos predvidivih troškova prethodnog i stečajnog postupka, sve kako bi na podlozi takvog izvješća sud donio odluku o daljnjem tijeku postupka.</w:t>
      </w:r>
    </w:p>
    <w:p w:rsidRDefault="00A20C99" w:rsidP="00A20C99" w:rsidR="00A20C99" w:rsidRPr="00A20C99">
      <w:pPr>
        <w:spacing w:before="160"/>
        <w:ind w:firstLine="709"/>
        <w:jc w:val="both"/>
        <w:rPr>
          <w:rFonts w:eastAsia="Times New Roman"/>
          <w:lang w:eastAsia="hr-HR"/>
        </w:rPr>
      </w:pPr>
      <w:r w:rsidRPr="00A20C99">
        <w:rPr>
          <w:rFonts w:eastAsia="Times New Roman"/>
          <w:lang w:eastAsia="hr-HR"/>
        </w:rPr>
        <w:t>Dana 12. prosinca 2017. kod ovog suda zaprimljeno je izvješće privremenog stečajnog upravitelja Ive Bučana (list 43-67 spisa) u kojem privremeni stečajni upravitelj navodi da se u nedostatku vjerodostojnih podataka ne može izjasniti da li je imovina stečajnog dužnika dovoljna za namirenje troškova stečajnog postupka.</w:t>
      </w:r>
    </w:p>
    <w:p w:rsidRDefault="00A20C99" w:rsidP="00A20C99" w:rsidR="00A20C99" w:rsidRPr="00A20C99">
      <w:pPr>
        <w:spacing w:before="160"/>
        <w:ind w:firstLine="709"/>
        <w:jc w:val="both"/>
        <w:rPr>
          <w:rFonts w:eastAsia="Times New Roman"/>
          <w:lang w:eastAsia="hr-HR"/>
        </w:rPr>
      </w:pPr>
      <w:r w:rsidRPr="00A20C99">
        <w:rPr>
          <w:rFonts w:eastAsia="Times New Roman"/>
          <w:lang w:eastAsia="hr-HR"/>
        </w:rPr>
        <w:t>Podneskom od 22. ožujka 2018. privremeni stečajni upravitelj naveo je da je pokušao uspostaviti kontakt sa zastupnicom po zakonu dužnika, ali bezuspješno te da iz tog razloga ostaje pri svom izvještaju od 12. prosinca 2017., s tim što isto dopunjuje, a u odnosu na iskaz zastupnice po zakonu dužnika na ročištu od 8. veljače 2018. na način da ako bi zahtjev dužnika upućen Poreznoj upravi za povratom iznosa od oko 170.000,00 kn na ime preplaćenog PDV-a bio prihvaćen, da bi dužnik imao sredstva za namirenje troškova stečajnog postupka.</w:t>
      </w:r>
    </w:p>
    <w:p w:rsidRDefault="00A20C99" w:rsidP="00A20C99" w:rsidR="00A20C99" w:rsidRPr="00A20C99">
      <w:pPr>
        <w:spacing w:before="160"/>
        <w:ind w:firstLine="709"/>
        <w:jc w:val="both"/>
        <w:rPr>
          <w:rFonts w:eastAsia="Times New Roman"/>
          <w:lang w:eastAsia="hr-HR"/>
        </w:rPr>
      </w:pPr>
      <w:r w:rsidRPr="00A20C99">
        <w:rPr>
          <w:rFonts w:eastAsia="Times New Roman"/>
          <w:lang w:eastAsia="hr-HR"/>
        </w:rPr>
        <w:t>Na ročište održano kod ovog suda 27. travnja 2018. nije pristupila zastupnica po zakonu dužnika, a privremeni stečajni upravitelj je naveo da ustraje u prijedlogu da se ovaj stečajni postupak otvori i zaključi po odredbi članka 132. Stečajnog zakona, a budući iz provedenog prethodnog postupka ne proizlazi da dužnik raspolaže likvidnom imovinom iz koje bi se mogli namiriti najmanje troškovi stečajnog postupka. U odnosu na tvrdnju dužnika da je podnio zahtjev Poreznoj upravi za povrat neplaćenog PDV-a u iznosu od oko 170.000,00 kn, navodi da mu takav dokaz nije predočen niti po izričitom traženju, ali u slučaju da je tome zaista tako i da dužnik u tom postupku uspije, predložio bi nastavak postupka radi naknade diobe stečajne mase.</w:t>
      </w:r>
    </w:p>
    <w:p w:rsidRDefault="00A20C99" w:rsidP="00A20C99" w:rsidR="00A20C99" w:rsidRPr="00A20C99">
      <w:pPr>
        <w:spacing w:before="160"/>
        <w:ind w:firstLine="709"/>
        <w:jc w:val="both"/>
        <w:rPr>
          <w:rFonts w:eastAsia="Times New Roman"/>
          <w:lang w:eastAsia="hr-HR"/>
        </w:rPr>
      </w:pPr>
      <w:r w:rsidRPr="00A20C99">
        <w:rPr>
          <w:rFonts w:eastAsia="Times New Roman"/>
          <w:lang w:eastAsia="hr-HR"/>
        </w:rPr>
        <w:t>Iz uvjerenja MUP-a, Policijska uprava Splitsko-dalmatinska od 25. kolovoza 2016. (list 7 spisa) proizlazi da je prema službenoj evidenciji registracije cestovnih vozila dužnik evidentiran kao vlasnik jednog vozila: N1, marke Peugeot Boxer 1.9 TD, god. proizvodnje: 1997., koje vozilo je odjavljeno 21. listopada 2015., a iz potvrde Općinskog suda u Splitu – Zemljišnoknjižni odjel Split od 29. kolovoza 2016. (list 8 spisa) proizlazi da dužnik nije upisan kao vlasnik nekretnina na području nadležnosti tog zemljišnoknjižnog odjela.</w:t>
      </w:r>
    </w:p>
    <w:p w:rsidRDefault="00A20C99" w:rsidP="00A20C99" w:rsidR="00A20C99" w:rsidRPr="00A20C99">
      <w:pPr>
        <w:spacing w:before="160"/>
        <w:ind w:firstLine="720"/>
        <w:jc w:val="both"/>
        <w:rPr>
          <w:rFonts w:eastAsia="Times New Roman"/>
          <w:lang w:eastAsia="hr-HR"/>
        </w:rPr>
      </w:pPr>
      <w:r w:rsidRPr="00A20C99">
        <w:rPr>
          <w:rFonts w:eastAsia="Times New Roman"/>
          <w:lang w:eastAsia="hr-HR"/>
        </w:rPr>
        <w:t xml:space="preserve">Iz potvrde FINA-e od 26. travnja 2018. (list 87 spisa) proizlazi da dužnik u Očevidniku redoslijeda osnova za plaćanje ima evidentirane neizvršene osnove za plaćanje u neprekinutom razdoblju od 776 dana, slijedom čega ovaj sud utvrđuje da je na strani dužnika ostvaren stečajni razlog nesposobnosti za plaćanje u smislu odredbi članka 6. </w:t>
      </w:r>
      <w:r w:rsidRPr="00A20C99">
        <w:rPr>
          <w:rFonts w:eastAsia="Calibri"/>
          <w:szCs w:val="22"/>
          <w:lang w:eastAsia="hr-HR"/>
        </w:rPr>
        <w:t>Stečajnog zakona („Narodne novine“ 71/15 i 104/17; dalje SZ)</w:t>
      </w:r>
      <w:r w:rsidRPr="00A20C99">
        <w:rPr>
          <w:rFonts w:eastAsia="Times New Roman"/>
          <w:lang w:eastAsia="hr-HR"/>
        </w:rPr>
        <w:t>.</w:t>
      </w:r>
    </w:p>
    <w:p w:rsidRDefault="003C0EDB" w:rsidP="00A20C99" w:rsidR="003C0EDB" w:rsidRPr="00B9502C">
      <w:pPr>
        <w:pStyle w:val="Bezproreda"/>
        <w:spacing w:before="160"/>
        <w:ind w:firstLine="709"/>
        <w:jc w:val="both"/>
        <w:rPr>
          <w:rFonts w:cs="Times New Roman" w:hAnsi="Times New Roman" w:ascii="Times New Roman"/>
          <w:sz w:val="24"/>
          <w:szCs w:val="24"/>
        </w:rPr>
      </w:pPr>
      <w:r w:rsidRPr="00B9502C">
        <w:rPr>
          <w:rFonts w:cs="Times New Roman" w:hAnsi="Times New Roman" w:ascii="Times New Roman"/>
          <w:sz w:val="24"/>
          <w:szCs w:val="24"/>
        </w:rPr>
        <w:t>Nadalje, budući iz provedenog prethodnog postupka proizlazi da dužnik nema likvidne imovine koja bi ušla u stečajnu masu i iz koje bi se mogli podmiriti barem troškovi stečajnog postupka, ovaj sud je rj</w:t>
      </w:r>
      <w:r w:rsidR="00B9502C">
        <w:rPr>
          <w:rFonts w:cs="Times New Roman" w:hAnsi="Times New Roman" w:ascii="Times New Roman"/>
          <w:sz w:val="24"/>
          <w:szCs w:val="24"/>
        </w:rPr>
        <w:t>ešenjem poslovni broj 11.St-</w:t>
      </w:r>
      <w:r w:rsidR="00A20C99">
        <w:rPr>
          <w:rFonts w:cs="Times New Roman" w:hAnsi="Times New Roman" w:ascii="Times New Roman"/>
          <w:sz w:val="24"/>
          <w:szCs w:val="24"/>
        </w:rPr>
        <w:t>1644</w:t>
      </w:r>
      <w:r w:rsidR="00B751AE">
        <w:rPr>
          <w:rFonts w:cs="Times New Roman" w:hAnsi="Times New Roman" w:ascii="Times New Roman"/>
          <w:sz w:val="24"/>
          <w:szCs w:val="24"/>
        </w:rPr>
        <w:t>/2016</w:t>
      </w:r>
      <w:r w:rsidR="00A20C99">
        <w:rPr>
          <w:rFonts w:cs="Times New Roman" w:hAnsi="Times New Roman" w:ascii="Times New Roman"/>
          <w:sz w:val="24"/>
          <w:szCs w:val="24"/>
        </w:rPr>
        <w:t>-44</w:t>
      </w:r>
      <w:r w:rsidRPr="00B9502C">
        <w:rPr>
          <w:rFonts w:cs="Times New Roman" w:hAnsi="Times New Roman" w:ascii="Times New Roman"/>
          <w:sz w:val="24"/>
          <w:szCs w:val="24"/>
        </w:rPr>
        <w:t xml:space="preserve"> </w:t>
      </w:r>
      <w:r w:rsidR="007D78C0">
        <w:rPr>
          <w:rFonts w:cs="Times New Roman" w:hAnsi="Times New Roman" w:ascii="Times New Roman"/>
          <w:sz w:val="24"/>
          <w:szCs w:val="24"/>
        </w:rPr>
        <w:t xml:space="preserve">od </w:t>
      </w:r>
      <w:r w:rsidR="00A20C99">
        <w:rPr>
          <w:rFonts w:cs="Times New Roman" w:hAnsi="Times New Roman" w:ascii="Times New Roman"/>
          <w:sz w:val="24"/>
          <w:szCs w:val="24"/>
        </w:rPr>
        <w:t>10. listopada</w:t>
      </w:r>
      <w:r w:rsidR="004B6C7F">
        <w:rPr>
          <w:rFonts w:cs="Times New Roman" w:hAnsi="Times New Roman" w:ascii="Times New Roman"/>
          <w:sz w:val="24"/>
          <w:szCs w:val="24"/>
        </w:rPr>
        <w:t xml:space="preserve"> 2018</w:t>
      </w:r>
      <w:r w:rsidRPr="00B9502C">
        <w:rPr>
          <w:rFonts w:cs="Times New Roman" w:hAnsi="Times New Roman" w:ascii="Times New Roman"/>
          <w:sz w:val="24"/>
          <w:szCs w:val="24"/>
        </w:rPr>
        <w:t xml:space="preserve">. pozvao vjerovnike i sve druge zainteresirane osobe koje imaju pravni interes za redovnim provođenjem stečajnog postupka nad </w:t>
      </w:r>
      <w:r w:rsidR="00321415" w:rsidRPr="00321415">
        <w:rPr>
          <w:rFonts w:cs="Times New Roman" w:hAnsi="Times New Roman" w:ascii="Times New Roman"/>
          <w:sz w:val="24"/>
          <w:szCs w:val="24"/>
        </w:rPr>
        <w:t xml:space="preserve">dužnikom </w:t>
      </w:r>
      <w:r w:rsidR="00A20C99" w:rsidRPr="00A20C99">
        <w:rPr>
          <w:rFonts w:cs="Times New Roman" w:hAnsi="Times New Roman" w:ascii="Times New Roman"/>
          <w:sz w:val="24"/>
          <w:szCs w:val="24"/>
        </w:rPr>
        <w:t>OREB d.o.o., OIB: 62215643904, Split, Pujanke 85</w:t>
      </w:r>
      <w:r w:rsidR="003E60FA">
        <w:rPr>
          <w:rFonts w:cs="Times New Roman" w:hAnsi="Times New Roman" w:ascii="Times New Roman"/>
          <w:sz w:val="24"/>
          <w:szCs w:val="24"/>
        </w:rPr>
        <w:t xml:space="preserve">, </w:t>
      </w:r>
      <w:r w:rsidRPr="00B9502C">
        <w:rPr>
          <w:rFonts w:cs="Times New Roman" w:hAnsi="Times New Roman" w:ascii="Times New Roman"/>
          <w:sz w:val="24"/>
          <w:szCs w:val="24"/>
        </w:rPr>
        <w:t>da u roku od 15 dana nakon proteka osmog dana od objave poziva na mrežnoj stranici e-Oglasna ploča sudova</w:t>
      </w:r>
      <w:r w:rsidR="004B6C7F">
        <w:rPr>
          <w:rFonts w:cs="Times New Roman" w:hAnsi="Times New Roman" w:ascii="Times New Roman"/>
          <w:sz w:val="24"/>
          <w:szCs w:val="24"/>
        </w:rPr>
        <w:t>, solidarno predujme iznos od 1</w:t>
      </w:r>
      <w:r w:rsidR="00B55A5B">
        <w:rPr>
          <w:rFonts w:cs="Times New Roman" w:hAnsi="Times New Roman" w:ascii="Times New Roman"/>
          <w:sz w:val="24"/>
          <w:szCs w:val="24"/>
        </w:rPr>
        <w:t>4</w:t>
      </w:r>
      <w:r w:rsidRPr="00B9502C">
        <w:rPr>
          <w:rFonts w:cs="Times New Roman" w:hAnsi="Times New Roman" w:ascii="Times New Roman"/>
          <w:sz w:val="24"/>
          <w:szCs w:val="24"/>
        </w:rPr>
        <w:t xml:space="preserve">.000,00 kuna za pokriće troškova prethodnog i otvorenog stečajnog postupka na depozitni račun Trgovačkog suda u Splitu. Navedeno rješenje je javno objavljeno na mrežnoj stranici e-Oglasna ploča sudova </w:t>
      </w:r>
      <w:r w:rsidR="00A20C99">
        <w:rPr>
          <w:rFonts w:cs="Times New Roman" w:hAnsi="Times New Roman" w:ascii="Times New Roman"/>
          <w:sz w:val="24"/>
          <w:szCs w:val="24"/>
        </w:rPr>
        <w:t>10. listopada</w:t>
      </w:r>
      <w:r w:rsidR="003A2600">
        <w:rPr>
          <w:rFonts w:cs="Times New Roman" w:hAnsi="Times New Roman" w:ascii="Times New Roman"/>
          <w:sz w:val="24"/>
          <w:szCs w:val="24"/>
        </w:rPr>
        <w:t xml:space="preserve"> </w:t>
      </w:r>
      <w:r w:rsidR="00321415">
        <w:rPr>
          <w:rFonts w:cs="Times New Roman" w:hAnsi="Times New Roman" w:ascii="Times New Roman"/>
          <w:sz w:val="24"/>
          <w:szCs w:val="24"/>
        </w:rPr>
        <w:t>2018., a temeljem odredbi članka 132. i članka</w:t>
      </w:r>
      <w:r w:rsidR="00B751AE">
        <w:rPr>
          <w:rFonts w:cs="Times New Roman" w:hAnsi="Times New Roman" w:ascii="Times New Roman"/>
          <w:sz w:val="24"/>
          <w:szCs w:val="24"/>
        </w:rPr>
        <w:t xml:space="preserve"> 12. stavka</w:t>
      </w:r>
      <w:r w:rsidRPr="00B9502C">
        <w:rPr>
          <w:rFonts w:cs="Times New Roman" w:hAnsi="Times New Roman" w:ascii="Times New Roman"/>
          <w:sz w:val="24"/>
          <w:szCs w:val="24"/>
        </w:rPr>
        <w:t xml:space="preserve"> 1.</w:t>
      </w:r>
      <w:r w:rsidR="00EA3CA7">
        <w:rPr>
          <w:rFonts w:cs="Times New Roman" w:hAnsi="Times New Roman" w:ascii="Times New Roman"/>
          <w:sz w:val="24"/>
          <w:szCs w:val="24"/>
        </w:rPr>
        <w:t xml:space="preserve"> </w:t>
      </w:r>
      <w:r w:rsidR="00B9502C">
        <w:rPr>
          <w:rFonts w:cs="Times New Roman" w:hAnsi="Times New Roman" w:ascii="Times New Roman"/>
          <w:sz w:val="24"/>
          <w:szCs w:val="24"/>
        </w:rPr>
        <w:t>SZ-a.</w:t>
      </w:r>
      <w:r w:rsidRPr="00B9502C">
        <w:rPr>
          <w:rFonts w:cs="Times New Roman" w:hAnsi="Times New Roman" w:ascii="Times New Roman"/>
          <w:sz w:val="24"/>
          <w:szCs w:val="24"/>
        </w:rPr>
        <w:t xml:space="preserve"> Nitko od pozvanih vjerovnika i ostalih eventualno zainteresiranih osoba nije postupio po pozivu suda i u ostavljenom roku uplatio zatraženi predujam.</w:t>
      </w:r>
    </w:p>
    <w:p w:rsidRDefault="00321415" w:rsidP="00A20C99" w:rsidR="003C0EDB" w:rsidRPr="00B9502C">
      <w:pPr>
        <w:spacing w:before="160"/>
        <w:ind w:firstLine="708"/>
        <w:jc w:val="both"/>
      </w:pPr>
      <w:r>
        <w:t>Odredbom članka</w:t>
      </w:r>
      <w:r w:rsidR="003C0EDB" w:rsidRPr="00B9502C">
        <w:t xml:space="preserve"> 132. st</w:t>
      </w:r>
      <w:r>
        <w:t>avka</w:t>
      </w:r>
      <w:r w:rsidR="003C0EDB" w:rsidRPr="00B9502C">
        <w:t xml:space="preserve"> 1. SZ-a propisano je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w:t>
      </w:r>
      <w:r>
        <w:t>se način primijeniti odredbe članaka</w:t>
      </w:r>
      <w:r w:rsidR="003C0EDB" w:rsidRPr="00B9502C">
        <w:t xml:space="preserve"> 286. do 292. tog Zakona. Postupak se neće zaključiti, ako se u roku koji rješenjem odredi stečajni sudac predujmi dostatan iznos novca za pokriće troškova kako prethodnog, tako i otvorenog stečajnog postupka. </w:t>
      </w:r>
    </w:p>
    <w:p w:rsidRDefault="003C0EDB" w:rsidP="00A20C99" w:rsidR="003C0EDB">
      <w:pPr>
        <w:pStyle w:val="Bezproreda"/>
        <w:spacing w:before="160"/>
        <w:ind w:firstLine="709"/>
        <w:jc w:val="both"/>
        <w:rPr>
          <w:rFonts w:cs="Times New Roman" w:hAnsi="Times New Roman" w:ascii="Times New Roman"/>
          <w:sz w:val="24"/>
          <w:szCs w:val="24"/>
        </w:rPr>
      </w:pPr>
      <w:r w:rsidRPr="00B9502C">
        <w:rPr>
          <w:rFonts w:cs="Times New Roman" w:hAnsi="Times New Roman" w:ascii="Times New Roman"/>
          <w:sz w:val="24"/>
          <w:szCs w:val="24"/>
        </w:rPr>
        <w:t>Kako je, dakle, iz rezultata prethodnog postupka proizašlo da je kod dužnika ostvaren stečajni razlog nesposobnosti za plaćanje, kao i to da imovina dužnika ne bi bila dovoljna niti za namirenje troškova postupka, a pozvani vjerovnici, kao i druge osobe koje imaju pravni interes da se stečajni postupak nad dužnikom provede u ostavljenom roku, nisu predujmili iznos predviđen za pokriće troškova prethodnog postupka te troškova provedbe stečaja, to su se u smislu odredbe č</w:t>
      </w:r>
      <w:r w:rsidR="00321415">
        <w:rPr>
          <w:rFonts w:cs="Times New Roman" w:hAnsi="Times New Roman" w:ascii="Times New Roman"/>
          <w:sz w:val="24"/>
          <w:szCs w:val="24"/>
        </w:rPr>
        <w:t>lanka</w:t>
      </w:r>
      <w:r w:rsidRPr="00B9502C">
        <w:rPr>
          <w:rFonts w:cs="Times New Roman" w:hAnsi="Times New Roman" w:ascii="Times New Roman"/>
          <w:sz w:val="24"/>
          <w:szCs w:val="24"/>
        </w:rPr>
        <w:t xml:space="preserve"> 132. SZ-a ispunili uvjeti da se stečaj nad dužnikom otvori i zaključi, radi čega je odlučeno kao u izreci ovog rješenja.</w:t>
      </w:r>
    </w:p>
    <w:p w:rsidRDefault="0047353E" w:rsidP="00A20C99" w:rsidR="003E60FA" w:rsidRPr="00B9502C">
      <w:pPr>
        <w:pStyle w:val="Bezproreda"/>
        <w:spacing w:before="160"/>
        <w:ind w:firstLine="708"/>
        <w:jc w:val="both"/>
        <w:rPr>
          <w:rFonts w:cs="Times New Roman" w:hAnsi="Times New Roman" w:ascii="Times New Roman"/>
          <w:sz w:val="24"/>
          <w:szCs w:val="24"/>
        </w:rPr>
      </w:pPr>
      <w:r w:rsidRPr="0047353E">
        <w:rPr>
          <w:rFonts w:cs="Times New Roman" w:hAnsi="Times New Roman" w:ascii="Times New Roman"/>
          <w:sz w:val="24"/>
          <w:szCs w:val="24"/>
        </w:rPr>
        <w:t>Izbor stečajnog upravitelja obavljen je metodom slučajnog odabira stečajnih upravitelja za područje nadležnosti ovog suda, sukladno odredbama članka 84. stavka 1. i članka 132. stavka 2. SZ-a, a obzirom da se privremeni stečajni upravitelj Ivo Bučan više ne nalazi na listi stečajnih upravitelja ovog suda.</w:t>
      </w:r>
    </w:p>
    <w:p w:rsidRDefault="0091365B" w:rsidP="00321415" w:rsidR="0091365B">
      <w:pPr>
        <w:spacing w:before="260"/>
        <w:jc w:val="center"/>
      </w:pPr>
      <w:r>
        <w:t xml:space="preserve">U Splitu </w:t>
      </w:r>
      <w:r w:rsidR="00B751AE">
        <w:t>1</w:t>
      </w:r>
      <w:r w:rsidR="0047353E">
        <w:t>6</w:t>
      </w:r>
      <w:r w:rsidR="00321415">
        <w:t>. siječnja 2019</w:t>
      </w:r>
      <w:r>
        <w:t>.</w:t>
      </w:r>
    </w:p>
    <w:p w:rsidRDefault="0091365B" w:rsidP="0091365B" w:rsidR="0091365B">
      <w:pPr>
        <w:pStyle w:val="Bezproreda"/>
        <w:spacing w:before="100"/>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91365B" w:rsidP="0094096C" w:rsidR="001D4A9B">
      <w:pPr>
        <w:ind w:left="6372"/>
        <w:jc w:val="center"/>
      </w:pPr>
      <w:r>
        <w:t>Ana Golub Gruić</w:t>
      </w:r>
      <w:r w:rsidR="001D4A9B">
        <w:t>, v.r.</w:t>
      </w:r>
    </w:p>
    <w:p w:rsidRDefault="001D4A9B" w:rsidP="008832A6" w:rsidR="001D4A9B">
      <w:pPr>
        <w:jc w:val="right"/>
      </w:pPr>
      <w:r>
        <w:t>za točnost otpravka – ovlašteni službenik</w:t>
      </w:r>
    </w:p>
    <w:p w:rsidRDefault="001D4A9B" w:rsidP="008832A6" w:rsidR="001D4A9B">
      <w:pPr>
        <w:ind w:firstLine="708" w:left="4956"/>
        <w:jc w:val="center"/>
      </w:pPr>
      <w:r>
        <w:t>Ana Bosančić</w:t>
      </w:r>
    </w:p>
    <w:p w:rsidRDefault="0091365B" w:rsidP="0091365B" w:rsidR="0091365B">
      <w:pPr>
        <w:pStyle w:val="Bezproreda"/>
        <w:ind w:left="6373"/>
        <w:jc w:val="center"/>
        <w:rPr>
          <w:rFonts w:cs="Times New Roman" w:hAnsi="Times New Roman" w:ascii="Times New Roman"/>
          <w:sz w:val="24"/>
          <w:szCs w:val="24"/>
        </w:rPr>
      </w:pPr>
    </w:p>
    <w:p w:rsidRDefault="00321415" w:rsidP="00321415" w:rsidR="0091365B">
      <w:pPr>
        <w:spacing w:before="300"/>
        <w:jc w:val="both"/>
      </w:pPr>
      <w:r>
        <w:t>Uputa</w:t>
      </w:r>
      <w:r w:rsidR="0091365B">
        <w:t xml:space="preserve">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6D6610" w:rsidR="0091365B">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6610" w:rsidP="006D6610" w:rsidR="006D6610">
      <w:r>
        <w:separator/>
      </w:r>
    </w:p>
  </w:endnote>
  <w:endnote w:id="0" w:type="continuationSeparator">
    <w:p w:rsidRDefault="006D6610" w:rsidP="006D6610" w:rsidR="006D66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6610" w:rsidP="006D6610" w:rsidR="006D6610">
      <w:r>
        <w:separator/>
      </w:r>
    </w:p>
  </w:footnote>
  <w:footnote w:id="0" w:type="continuationSeparator">
    <w:p w:rsidRDefault="006D6610" w:rsidP="006D6610" w:rsidR="006D66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86425094"/>
      <w:docPartObj>
        <w:docPartGallery w:val="Page Numbers (Top of Page)"/>
        <w:docPartUnique/>
      </w:docPartObj>
    </w:sdtPr>
    <w:sdtEndPr/>
    <w:sdtContent>
      <w:p w:rsidRDefault="006D6610" w:rsidP="002948BF" w:rsidR="006D6610">
        <w:pPr>
          <w:pStyle w:val="Zaglavlje"/>
          <w:ind w:firstLine="1416"/>
          <w:jc w:val="right"/>
        </w:pPr>
        <w:r>
          <w:fldChar w:fldCharType="begin"/>
        </w:r>
        <w:r>
          <w:instrText>PAGE   \* MERGEFORMAT</w:instrText>
        </w:r>
        <w:r>
          <w:fldChar w:fldCharType="separate"/>
        </w:r>
        <w:r w:rsidR="001D4A9B">
          <w:rPr>
            <w:noProof/>
          </w:rPr>
          <w:t>4</w:t>
        </w:r>
        <w:r>
          <w:fldChar w:fldCharType="end"/>
        </w:r>
        <w:r w:rsidR="002948BF">
          <w:tab/>
        </w:r>
        <w:r w:rsidR="00321415">
          <w:t>Poslovni broj: 11.</w:t>
        </w:r>
        <w:r>
          <w:t>St-</w:t>
        </w:r>
        <w:r w:rsidR="00A20C99">
          <w:t>1644</w:t>
        </w:r>
        <w:r w:rsidR="001A5335">
          <w:t>/2016-54</w:t>
        </w:r>
      </w:p>
    </w:sdtContent>
  </w:sdt>
  <w:p w:rsidRDefault="006D6610" w:rsidR="006D661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365B"/>
    <w:rsid w:val="000265E4"/>
    <w:rsid w:val="000616B4"/>
    <w:rsid w:val="00121492"/>
    <w:rsid w:val="001274B1"/>
    <w:rsid w:val="00142F93"/>
    <w:rsid w:val="001A5335"/>
    <w:rsid w:val="001B428B"/>
    <w:rsid w:val="001D3E5B"/>
    <w:rsid w:val="001D4A9B"/>
    <w:rsid w:val="00232A60"/>
    <w:rsid w:val="002948BF"/>
    <w:rsid w:val="00321415"/>
    <w:rsid w:val="00335ED3"/>
    <w:rsid w:val="003A1748"/>
    <w:rsid w:val="003A2600"/>
    <w:rsid w:val="003C0EDB"/>
    <w:rsid w:val="003C7934"/>
    <w:rsid w:val="003E60FA"/>
    <w:rsid w:val="003E6770"/>
    <w:rsid w:val="0047353E"/>
    <w:rsid w:val="004B3697"/>
    <w:rsid w:val="004B6C7F"/>
    <w:rsid w:val="00606538"/>
    <w:rsid w:val="006234D0"/>
    <w:rsid w:val="006874D9"/>
    <w:rsid w:val="006D6610"/>
    <w:rsid w:val="00715B08"/>
    <w:rsid w:val="00725507"/>
    <w:rsid w:val="007D78C0"/>
    <w:rsid w:val="007E0D1B"/>
    <w:rsid w:val="00843869"/>
    <w:rsid w:val="00887A0B"/>
    <w:rsid w:val="0091365B"/>
    <w:rsid w:val="009360DB"/>
    <w:rsid w:val="00977F82"/>
    <w:rsid w:val="00A20C99"/>
    <w:rsid w:val="00A26EA9"/>
    <w:rsid w:val="00A5775A"/>
    <w:rsid w:val="00AE0312"/>
    <w:rsid w:val="00B55A5B"/>
    <w:rsid w:val="00B751AE"/>
    <w:rsid w:val="00B86AFC"/>
    <w:rsid w:val="00B9502C"/>
    <w:rsid w:val="00BC061F"/>
    <w:rsid w:val="00C31762"/>
    <w:rsid w:val="00C61D00"/>
    <w:rsid w:val="00C91FC0"/>
    <w:rsid w:val="00CB24C7"/>
    <w:rsid w:val="00DC6958"/>
    <w:rsid w:val="00E46C29"/>
    <w:rsid w:val="00E90CEC"/>
    <w:rsid w:val="00EA3CA7"/>
    <w:rsid w:val="00EB422A"/>
    <w:rsid w:val="00F13D03"/>
    <w:rsid w:val="00F16E8D"/>
    <w:rsid w:val="00F52395"/>
    <w:rsid w:val="00FD4961"/>
    <w:rsid w:val="00FD57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1365B"/>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1365B"/>
    <w:pPr>
      <w:spacing w:lineRule="auto" w:line="240" w:after="0"/>
    </w:pPr>
  </w:style>
  <w:style w:styleId="Reetkatablice" w:type="table">
    <w:name w:val="Table Grid"/>
    <w:basedOn w:val="Obinatablica"/>
    <w:rsid w:val="0091365B"/>
    <w:pPr>
      <w:spacing w:lineRule="auto" w:line="240" w:after="0"/>
    </w:pPr>
    <w:rPr>
      <w:rFonts w:cs="Times New Roman" w:eastAsia="Times New Roman" w:hAnsi="Times New Roman" w:ascii="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136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1365B"/>
    <w:rPr>
      <w:rFonts w:cs="Tahoma" w:hAnsi="Tahoma" w:asci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true" w:styleId="ZaglavljeChar" w:type="character">
    <w:name w:val="Zaglavlje Char"/>
    <w:basedOn w:val="Zadanifontodlomka"/>
    <w:link w:val="Zaglavlje"/>
    <w:uiPriority w:val="99"/>
    <w:rsid w:val="006D6610"/>
    <w:rPr>
      <w:rFonts w:cs="Times New Roman" w:hAnsi="Times New Roman" w:asci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true" w:styleId="PodnojeChar" w:type="character">
    <w:name w:val="Podnožje Char"/>
    <w:basedOn w:val="Zadanifontodlomka"/>
    <w:link w:val="Podnoje"/>
    <w:uiPriority w:val="99"/>
    <w:rsid w:val="006D6610"/>
    <w:rPr>
      <w:rFonts w:cs="Times New Roman" w:hAnsi="Times New Roman" w:asci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1D4A9B"/>
    <w:rPr>
      <w:color w:val="808080"/>
      <w:bdr w:space="0" w:sz="0" w:color="auto" w:val="none"/>
      <w:shd w:fill="auto" w:color="auto" w:val="clear"/>
    </w:rPr>
  </w:style>
  <w:style w:customStyle="true" w:styleId="eSPISCCParagraphDefaultFont" w:type="character">
    <w:name w:val="eSPIS_CC_Paragraph Default Font"/>
    <w:basedOn w:val="Zadanifontodlomka"/>
    <w:rsid w:val="001D4A9B"/>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1D4A9B"/>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1D4A9B"/>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D4A9B"/>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1365B"/>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1365B"/>
    <w:pPr>
      <w:spacing w:after="0" w:line="240" w:lineRule="auto"/>
    </w:pPr>
  </w:style>
  <w:style w:styleId="Reetkatablice" w:type="table">
    <w:name w:val="Table Grid"/>
    <w:basedOn w:val="Obinatablica"/>
    <w:rsid w:val="0091365B"/>
    <w:pPr>
      <w:spacing w:after="0" w:line="240" w:lineRule="auto"/>
    </w:pPr>
    <w:rPr>
      <w:rFonts w:ascii="Times New Roman" w:cs="Times New Roman" w:eastAsia="Times New Roman" w:hAnsi="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1365B"/>
    <w:rPr>
      <w:rFonts w:ascii="Tahoma" w:cs="Tahoma" w:hAnsi="Tahoma"/>
      <w:sz w:val="16"/>
      <w:szCs w:val="16"/>
    </w:rPr>
  </w:style>
  <w:style w:customStyle="1" w:styleId="TekstbaloniaChar" w:type="character">
    <w:name w:val="Tekst balončića Char"/>
    <w:basedOn w:val="Zadanifontodlomka"/>
    <w:link w:val="Tekstbalonia"/>
    <w:uiPriority w:val="99"/>
    <w:semiHidden/>
    <w:rsid w:val="0091365B"/>
    <w:rPr>
      <w:rFonts w:ascii="Tahoma" w:cs="Tahoma" w:hAns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1" w:styleId="ZaglavljeChar" w:type="character">
    <w:name w:val="Zaglavlje Char"/>
    <w:basedOn w:val="Zadanifontodlomka"/>
    <w:link w:val="Zaglavlje"/>
    <w:uiPriority w:val="99"/>
    <w:rsid w:val="006D6610"/>
    <w:rPr>
      <w:rFonts w:ascii="Times New Roman" w:cs="Times New Roman" w:hAns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1" w:styleId="PodnojeChar" w:type="character">
    <w:name w:val="Podnožje Char"/>
    <w:basedOn w:val="Zadanifontodlomka"/>
    <w:link w:val="Podnoje"/>
    <w:uiPriority w:val="99"/>
    <w:rsid w:val="006D6610"/>
    <w:rPr>
      <w:rFonts w:ascii="Times New Roman" w:cs="Times New Roman" w:hAns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1D4A9B"/>
    <w:rPr>
      <w:color w:val="808080"/>
      <w:bdr w:color="auto" w:space="0" w:sz="0" w:val="none"/>
      <w:shd w:color="auto" w:fill="auto" w:val="clear"/>
    </w:rPr>
  </w:style>
  <w:style w:customStyle="1" w:styleId="eSPISCCParagraphDefaultFont" w:type="character">
    <w:name w:val="eSPIS_CC_Paragraph Default Font"/>
    <w:basedOn w:val="Zadanifontodlomka"/>
    <w:rsid w:val="001D4A9B"/>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1D4A9B"/>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1D4A9B"/>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D4A9B"/>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686787">
      <w:bodyDiv w:val="true"/>
      <w:marLeft w:val="0"/>
      <w:marRight w:val="0"/>
      <w:marTop w:val="0"/>
      <w:marBottom w:val="0"/>
      <w:divBdr>
        <w:top w:space="0" w:sz="0" w:color="auto" w:val="none"/>
        <w:left w:space="0" w:sz="0" w:color="auto" w:val="none"/>
        <w:bottom w:space="0" w:sz="0" w:color="auto" w:val="none"/>
        <w:right w:space="0" w:sz="0" w:color="auto" w:val="none"/>
      </w:divBdr>
    </w:div>
    <w:div w:id="195001976">
      <w:bodyDiv w:val="true"/>
      <w:marLeft w:val="0"/>
      <w:marRight w:val="0"/>
      <w:marTop w:val="0"/>
      <w:marBottom w:val="0"/>
      <w:divBdr>
        <w:top w:space="0" w:sz="0" w:color="auto" w:val="none"/>
        <w:left w:space="0" w:sz="0" w:color="auto" w:val="none"/>
        <w:bottom w:space="0" w:sz="0" w:color="auto" w:val="none"/>
        <w:right w:space="0" w:sz="0" w:color="auto" w:val="none"/>
      </w:divBdr>
    </w:div>
    <w:div w:id="331177374">
      <w:bodyDiv w:val="true"/>
      <w:marLeft w:val="0"/>
      <w:marRight w:val="0"/>
      <w:marTop w:val="0"/>
      <w:marBottom w:val="0"/>
      <w:divBdr>
        <w:top w:space="0" w:sz="0" w:color="auto" w:val="none"/>
        <w:left w:space="0" w:sz="0" w:color="auto" w:val="none"/>
        <w:bottom w:space="0" w:sz="0" w:color="auto" w:val="none"/>
        <w:right w:space="0" w:sz="0" w:color="auto" w:val="none"/>
      </w:divBdr>
    </w:div>
    <w:div w:id="400296198">
      <w:bodyDiv w:val="true"/>
      <w:marLeft w:val="0"/>
      <w:marRight w:val="0"/>
      <w:marTop w:val="0"/>
      <w:marBottom w:val="0"/>
      <w:divBdr>
        <w:top w:space="0" w:sz="0" w:color="auto" w:val="none"/>
        <w:left w:space="0" w:sz="0" w:color="auto" w:val="none"/>
        <w:bottom w:space="0" w:sz="0" w:color="auto" w:val="none"/>
        <w:right w:space="0" w:sz="0" w:color="auto" w:val="none"/>
      </w:divBdr>
    </w:div>
    <w:div w:id="776295895">
      <w:bodyDiv w:val="true"/>
      <w:marLeft w:val="0"/>
      <w:marRight w:val="0"/>
      <w:marTop w:val="0"/>
      <w:marBottom w:val="0"/>
      <w:divBdr>
        <w:top w:space="0" w:sz="0" w:color="auto" w:val="none"/>
        <w:left w:space="0" w:sz="0" w:color="auto" w:val="none"/>
        <w:bottom w:space="0" w:sz="0" w:color="auto" w:val="none"/>
        <w:right w:space="0" w:sz="0" w:color="auto" w:val="none"/>
      </w:divBdr>
    </w:div>
    <w:div w:id="906261679">
      <w:bodyDiv w:val="true"/>
      <w:marLeft w:val="0"/>
      <w:marRight w:val="0"/>
      <w:marTop w:val="0"/>
      <w:marBottom w:val="0"/>
      <w:divBdr>
        <w:top w:space="0" w:sz="0" w:color="auto" w:val="none"/>
        <w:left w:space="0" w:sz="0" w:color="auto" w:val="none"/>
        <w:bottom w:space="0" w:sz="0" w:color="auto" w:val="none"/>
        <w:right w:space="0" w:sz="0" w:color="auto" w:val="none"/>
      </w:divBdr>
    </w:div>
    <w:div w:id="984821088">
      <w:bodyDiv w:val="true"/>
      <w:marLeft w:val="0"/>
      <w:marRight w:val="0"/>
      <w:marTop w:val="0"/>
      <w:marBottom w:val="0"/>
      <w:divBdr>
        <w:top w:space="0" w:sz="0" w:color="auto" w:val="none"/>
        <w:left w:space="0" w:sz="0" w:color="auto" w:val="none"/>
        <w:bottom w:space="0" w:sz="0" w:color="auto" w:val="none"/>
        <w:right w:space="0" w:sz="0" w:color="auto" w:val="none"/>
      </w:divBdr>
    </w:div>
    <w:div w:id="1337615977">
      <w:bodyDiv w:val="true"/>
      <w:marLeft w:val="0"/>
      <w:marRight w:val="0"/>
      <w:marTop w:val="0"/>
      <w:marBottom w:val="0"/>
      <w:divBdr>
        <w:top w:space="0" w:sz="0" w:color="auto" w:val="none"/>
        <w:left w:space="0" w:sz="0" w:color="auto" w:val="none"/>
        <w:bottom w:space="0" w:sz="0" w:color="auto" w:val="none"/>
        <w:right w:space="0" w:sz="0" w:color="auto" w:val="none"/>
      </w:divBdr>
    </w:div>
    <w:div w:id="1575704488">
      <w:bodyDiv w:val="true"/>
      <w:marLeft w:val="0"/>
      <w:marRight w:val="0"/>
      <w:marTop w:val="0"/>
      <w:marBottom w:val="0"/>
      <w:divBdr>
        <w:top w:space="0" w:sz="0" w:color="auto" w:val="none"/>
        <w:left w:space="0" w:sz="0" w:color="auto" w:val="none"/>
        <w:bottom w:space="0" w:sz="0" w:color="auto" w:val="none"/>
        <w:right w:space="0" w:sz="0" w:color="auto" w:val="none"/>
      </w:divBdr>
    </w:div>
    <w:div w:id="1733845142">
      <w:bodyDiv w:val="true"/>
      <w:marLeft w:val="0"/>
      <w:marRight w:val="0"/>
      <w:marTop w:val="0"/>
      <w:marBottom w:val="0"/>
      <w:divBdr>
        <w:top w:space="0" w:sz="0" w:color="auto" w:val="none"/>
        <w:left w:space="0" w:sz="0" w:color="auto" w:val="none"/>
        <w:bottom w:space="0" w:sz="0" w:color="auto" w:val="none"/>
        <w:right w:space="0" w:sz="0" w:color="auto" w:val="none"/>
      </w:divBdr>
    </w:div>
    <w:div w:id="2033796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2019.</izvorni_sadrzaj>
    <derivirana_varijabla naziv="DomainObject.DatumDonosenjaOdluke_1">16.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1644</izvorni_sadrzaj>
    <derivirana_varijabla naziv="DomainObject.Predmet.Broj_1">1644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St-1644/2016</izvorni_sadrzaj>
    <derivirana_varijabla naziv="DomainObject.Predmet.OznakaBroj_1">St-1644/2016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OREB za trgovinu i  usluge, društvo s ograničenom odgovornošću</izvorni_sadrzaj>
    <derivirana_varijabla naziv="DomainObject.Predmet.ProtustrankaFormated_1">  OREB za trgovinu i  usluge, društvo s ograničenom odgovornošću</derivirana_varijabla>
  </DomainObject.Predmet.ProtustrankaFormated>
  <DomainObject.Predmet.ProtustrankaFormatedOIB>
    <izvorni_sadrzaj>  OREB za trgovinu i  usluge, društvo s ograničenom odgovornošću, OIB 62215643904</izvorni_sadrzaj>
    <derivirana_varijabla naziv="DomainObject.Predmet.ProtustrankaFormatedOIB_1">  OREB za trgovinu i  usluge, društvo s ograničenom odgovornošću, OIB 62215643904</derivirana_varijabla>
  </DomainObject.Predmet.ProtustrankaFormatedOIB>
  <DomainObject.Predmet.ProtustrankaFormatedWithAdress>
    <izvorni_sadrzaj> OREB za trgovinu i  usluge, društvo s ograničenom odgovornošću, Pujanke 85, 21000 Split</izvorni_sadrzaj>
    <derivirana_varijabla naziv="DomainObject.Predmet.ProtustrankaFormatedWithAdress_1"> OREB za trgovinu i  usluge, društvo s ograničenom odgovornošću, Pujanke 85, 21000 Split</derivirana_varijabla>
  </DomainObject.Predmet.ProtustrankaFormatedWithAdress>
  <DomainObject.Predmet.ProtustrankaFormatedWithAdressOIB>
    <izvorni_sadrzaj> OREB za trgovinu i  usluge, društvo s ograničenom odgovornošću, OIB 62215643904, Pujanke 85, 21000 Split</izvorni_sadrzaj>
    <derivirana_varijabla naziv="DomainObject.Predmet.ProtustrankaFormatedWithAdressOIB_1"> OREB za trgovinu i  usluge, društvo s ograničenom odgovornošću, OIB 62215643904, Pujanke 85, 21000 Split</derivirana_varijabla>
  </DomainObject.Predmet.ProtustrankaFormatedWithAdressOIB>
  <DomainObject.Predmet.ProtustrankaWithAdress>
    <izvorni_sadrzaj>OREB za trgovinu i  usluge, društvo s ograničenom odgovornošću Pujanke 85, 21000 Split</izvorni_sadrzaj>
    <derivirana_varijabla naziv="DomainObject.Predmet.ProtustrankaWithAdress_1">OREB za trgovinu i  usluge, društvo s ograničenom odgovornošću Pujanke 85, 21000 Split</derivirana_varijabla>
  </DomainObject.Predmet.ProtustrankaWithAdress>
  <DomainObject.Predmet.ProtustrankaWithAdressOIB>
    <izvorni_sadrzaj>OREB za trgovinu i  usluge, društvo s ograničenom odgovornošću, OIB 62215643904, Pujanke 85, 21000 Split</izvorni_sadrzaj>
    <derivirana_varijabla naziv="DomainObject.Predmet.ProtustrankaWithAdressOIB_1">OREB za trgovinu i  usluge, društvo s ograničenom odgovornošću, OIB 62215643904, Pujanke 85, 21000 Split</derivirana_varijabla>
  </DomainObject.Predmet.ProtustrankaWithAdressOIB>
  <DomainObject.Predmet.ProtustrankaNazivFormated>
    <izvorni_sadrzaj>OREB za trgovinu i  usluge, društvo s ograničenom odgovornošću</izvorni_sadrzaj>
    <derivirana_varijabla naziv="DomainObject.Predmet.ProtustrankaNazivFormated_1">OREB za trgovinu i  usluge, društvo s ograničenom odgovornošću</derivirana_varijabla>
  </DomainObject.Predmet.ProtustrankaNazivFormated>
  <DomainObject.Predmet.ProtustrankaNazivFormatedOIB>
    <izvorni_sadrzaj>OREB za trgovinu i  usluge, društvo s ograničenom odgovornošću, OIB 62215643904</izvorni_sadrzaj>
    <derivirana_varijabla naziv="DomainObject.Predmet.ProtustrankaNazivFormatedOIB_1">OREB za trgovinu i  usluge, društvo s ograničenom odgovornošću, OIB 62215643904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22796.63</izvorni_sadrzaj>
    <derivirana_varijabla naziv="DomainObject.Predmet.TrenutnaVrijednost_1">22796.63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OREB za trgovinu i  usluge, društvo s ograničenom odgovornošću</item>
    </izvorni_sadrzaj>
    <derivirana_varijabla naziv="DomainObject.Predmet.ProtuStrankaListFormated_1">
      <item>OREB za trgovinu i  usluge, društvo s ograničenom odgovornošću</item>
    </derivirana_varijabla>
  </DomainObject.Predmet.ProtuStrankaListFormated>
  <DomainObject.Predmet.ProtuStrankaListFormatedOIB>
    <izvorni_sadrzaj>
      <item>OREB za trgovinu i  usluge, društvo s ograničenom odgovornošću, OIB 62215643904</item>
    </izvorni_sadrzaj>
    <derivirana_varijabla naziv="DomainObject.Predmet.ProtuStrankaListFormatedOIB_1">
      <item>OREB za trgovinu i  usluge, društvo s ograničenom odgovornošću, OIB 62215643904</item>
    </derivirana_varijabla>
  </DomainObject.Predmet.ProtuStrankaListFormatedOIB>
  <DomainObject.Predmet.ProtuStrankaListFormatedWithAdress>
    <izvorni_sadrzaj>
      <item>OREB za trgovinu i  usluge, društvo s ograničenom odgovornošću, Pujanke 85, 21000 Split</item>
    </izvorni_sadrzaj>
    <derivirana_varijabla naziv="DomainObject.Predmet.ProtuStrankaListFormatedWithAdress_1">
      <item>OREB za trgovinu i  usluge, društvo s ograničenom odgovornošću, Pujanke 85, 21000 Split</item>
    </derivirana_varijabla>
  </DomainObject.Predmet.ProtuStrankaListFormatedWithAdress>
  <DomainObject.Predmet.ProtuStrankaListFormatedWithAdressOIB>
    <izvorni_sadrzaj>
      <item>OREB za trgovinu i  usluge, društvo s ograničenom odgovornošću, OIB 62215643904, Pujanke 85, 21000 Split</item>
    </izvorni_sadrzaj>
    <derivirana_varijabla naziv="DomainObject.Predmet.ProtuStrankaListFormatedWithAdressOIB_1">
      <item>OREB za trgovinu i  usluge, društvo s ograničenom odgovornošću, OIB 62215643904, Pujanke 85, 21000 Split</item>
    </derivirana_varijabla>
  </DomainObject.Predmet.ProtuStrankaListFormatedWithAdressOIB>
  <DomainObject.Predmet.ProtuStrankaListNazivFormated>
    <izvorni_sadrzaj>
      <item>OREB za trgovinu i  usluge, društvo s ograničenom odgovornošću</item>
    </izvorni_sadrzaj>
    <derivirana_varijabla naziv="DomainObject.Predmet.ProtuStrankaListNazivFormated_1">
      <item>OREB za trgovinu i  usluge, društvo s ograničenom odgovornošću</item>
    </derivirana_varijabla>
  </DomainObject.Predmet.ProtuStrankaListNazivFormated>
  <DomainObject.Predmet.ProtuStrankaListNazivFormatedOIB>
    <izvorni_sadrzaj>
      <item>OREB za trgovinu i  usluge, društvo s ograničenom odgovornošću, OIB 62215643904</item>
    </izvorni_sadrzaj>
    <derivirana_varijabla naziv="DomainObject.Predmet.ProtuStrankaListNazivFormatedOIB_1">
      <item>OREB za trgovinu i  usluge, društvo s ograničenom odgovornošću, OIB 62215643904</item>
    </derivirana_varijabla>
  </DomainObject.Predmet.ProtuStrankaListNazivFormatedOIB>
  <DomainObject.Predmet.OstaliListFormated>
    <izvorni_sadrzaj>
      <item>Linda Lozo</item>
    </izvorni_sadrzaj>
    <derivirana_varijabla naziv="DomainObject.Predmet.OstaliListFormated_1">
      <item>Linda Lozo</item>
    </derivirana_varijabla>
  </DomainObject.Predmet.OstaliListFormated>
  <DomainObject.Predmet.OstaliListFormatedOIB>
    <izvorni_sadrzaj>
      <item>Linda Lozo, OIB 06177080648</item>
    </izvorni_sadrzaj>
    <derivirana_varijabla naziv="DomainObject.Predmet.OstaliListFormatedOIB_1">
      <item>Linda Lozo, OIB 06177080648</item>
    </derivirana_varijabla>
  </DomainObject.Predmet.OstaliListFormatedOIB>
  <DomainObject.Predmet.OstaliListFormatedWithAdress>
    <izvorni_sadrzaj>
      <item>Linda Lozo, Karlovačka 26b, 21000 Split</item>
    </izvorni_sadrzaj>
    <derivirana_varijabla naziv="DomainObject.Predmet.OstaliListFormatedWithAdress_1">
      <item>Linda Lozo, Karlovačka 26b, 21000 Split</item>
    </derivirana_varijabla>
  </DomainObject.Predmet.OstaliListFormatedWithAdress>
  <DomainObject.Predmet.OstaliListFormatedWithAdressOIB>
    <izvorni_sadrzaj>
      <item>Linda Lozo, OIB 06177080648, Karlovačka 26b, 21000 Split</item>
    </izvorni_sadrzaj>
    <derivirana_varijabla naziv="DomainObject.Predmet.OstaliListFormatedWithAdressOIB_1">
      <item>Linda Lozo, OIB 06177080648, Karlovačka 26b, 21000 Split</item>
    </derivirana_varijabla>
  </DomainObject.Predmet.OstaliListFormatedWithAdressOIB>
  <DomainObject.Predmet.OstaliListNazivFormated>
    <izvorni_sadrzaj>
      <item>Linda Lozo</item>
    </izvorni_sadrzaj>
    <derivirana_varijabla naziv="DomainObject.Predmet.OstaliListNazivFormated_1">
      <item>Linda Lozo</item>
    </derivirana_varijabla>
  </DomainObject.Predmet.OstaliListNazivFormated>
  <DomainObject.Predmet.OstaliListNazivFormatedOIB>
    <izvorni_sadrzaj>
      <item>Linda Lozo, OIB 06177080648</item>
    </izvorni_sadrzaj>
    <derivirana_varijabla naziv="DomainObject.Predmet.OstaliListNazivFormatedOIB_1">
      <item>Linda Lozo, OIB 06177080648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2019.</izvorni_sadrzaj>
    <derivirana_varijabla naziv="DomainObject.Datum_1">16. siječnja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OREB za trgovinu i  usluge, društvo s ograničenom odgovornošću</izvorni_sadrzaj>
    <derivirana_varijabla naziv="DomainObject.Predmet.ProtustrankaIDrugi_1">OREB za trgovinu i  usluge,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OREB za trgovinu i  usluge, društvo s ograničenom odgovornošću, OIB 62215643904, Pujanke 85, 21000 Split</izvorni_sadrzaj>
    <derivirana_varijabla naziv="DomainObject.Predmet.ProtustrankaIDrugiAdressOIB_1">OREB za trgovinu i  usluge, društvo s ograničenom odgovornošću, OIB 62215643904, Pujanke 85,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OREB za trgovinu i  usluge, društvo s ograničenom odgovornošću</item>
      <item>FINANCIJSKA AGENCIJA, RC SPLIT</item>
      <item>Linda Lozo</item>
    </izvorni_sadrzaj>
    <derivirana_varijabla naziv="DomainObject.Predmet.SudioniciListNaziv_1">
      <item>OREB za trgovinu i  usluge, društvo s ograničenom odgovornošću</item>
      <item>FINANCIJSKA AGENCIJA, RC SPLIT</item>
      <item>Linda Lozo</item>
    </derivirana_varijabla>
  </DomainObject.Predmet.SudioniciListNaziv>
  <DomainObject.Predmet.SudioniciListAdressOIB>
    <izvorni_sadrzaj>
      <item>OREB za trgovinu i  usluge, društvo s ograničenom odgovornošću, OIB 62215643904, Pujanke 85,21000 Split</item>
      <item>FINANCIJSKA AGENCIJA, RC SPLIT, OIB 85821130368, Mažuranićevo šetalište 24 b,21000 Split</item>
      <item>Linda Lozo, OIB 06177080648, Karlovačka 26b,21000 Split</item>
    </izvorni_sadrzaj>
    <derivirana_varijabla naziv="DomainObject.Predmet.SudioniciListAdressOIB_1">
      <item>OREB za trgovinu i  usluge, društvo s ograničenom odgovornošću, OIB 62215643904, Pujanke 85,21000 Split</item>
      <item>FINANCIJSKA AGENCIJA, RC SPLIT, OIB 85821130368, Mažuranićevo šetalište 24 b,21000 Split</item>
      <item>Linda Lozo, OIB 06177080648, Karlovačka 26b,21000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62215643904</item>
      <item>, OIB 85821130368</item>
      <item>, OIB 06177080648</item>
    </izvorni_sadrzaj>
    <derivirana_varijabla naziv="DomainObject.Predmet.SudioniciListNazivOIB_1">
      <item>, OIB 62215643904</item>
      <item>, OIB 85821130368</item>
      <item>, OIB 06177080648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Poljak, OIB 77663651000, Miramarska 26, 10000 Zagreb</item>
    </izvorni_sadrzaj>
    <derivirana_varijabla naziv="DomainObject.Predmet.StecajniUpraviteljiListAddressOIB_1">
      <item>Domagoj Poljak, OIB 77663651000, Miramarska 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travnja 2018.</izvorni_sadrzaj>
    <derivirana_varijabla naziv="DomainObject.Predmet.DatumZadnjeOdrzaneSudskeRadnje_1">27. travnja 2018.</derivirana_varijabla>
  </DomainObject.Predmet.DatumZadnjeOdrzaneSudskeRadnje>
  <DomainObject.PredzadnjaOdlukaIzPredmeta.DatumDonosenjaOdluke>
    <izvorni_sadrzaj>15. siječnja 2019.</izvorni_sadrzaj>
    <derivirana_varijabla naziv="DomainObject.PredzadnjaOdlukaIzPredmeta.DatumDonosenjaOdluke_1">15. siječnja 2019.</derivirana_varijabla>
  </DomainObject.PredzadnjaOdlukaIzPredmeta.DatumDonosenjaOdluke>
  <DomainObject.PredzadnjaOdlukaIzPredmeta.Oznaka>
    <izvorni_sadrzaj>St-1644/2016-55</izvorni_sadrzaj>
    <derivirana_varijabla naziv="DomainObject.PredzadnjaOdlukaIzPredmeta.Oznaka_1">St-1644/2016-55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52CD3C-38A8-4F14-9FCE-17A3995335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1502</properties:Words>
  <properties:Characters>8413</properties:Characters>
  <properties:Lines>143</properties:Lines>
  <properties:Paragraphs>35</properties:Paragraphs>
  <properties:TotalTime>92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9896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2018-05-29T11:12:00Z</dcterms:created>
  <dc:creator>Ana Golub Gruić</dc:creator>
  <cp:lastModifiedBy>Ana Golub Gruić</cp:lastModifiedBy>
  <cp:lastPrinted>2019-01-16T08:55:00Z</cp:lastPrinted>
  <dcterms:modified xmlns:xsi="http://www.w3.org/2001/XMLSchema-instance" xsi:type="dcterms:W3CDTF">2019-01-16T08:55:00Z</dcterms:modified>
  <cp:revision>27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(St-1644-2016 rješenje otvaranje i zaključenje.docx)</vt:lpwstr>
  </prop:property>
  <prop:property name="CC_coloring" pid="4" fmtid="{D5CDD505-2E9C-101B-9397-08002B2CF9AE}">
    <vt:bool>false</vt:bool>
  </prop:property>
  <prop:property name="BrojStranica" pid="5" fmtid="{D5CDD505-2E9C-101B-9397-08002B2CF9AE}">
    <vt:i4>4</vt:i4>
  </prop:property>
</prop:Properties>
</file>