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0c79" w14:paraId="cab0c7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46C85" w:rsidP="00E67D40" w:rsidR="00A46C85">
      <w:pPr>
        <w:pStyle w:val="SudSjedite"/>
      </w:pPr>
    </w:p>
    <w:p w:rsidRDefault="00A46C85" w:rsidP="00A46C85" w:rsidR="00A46C85" w:rsidRPr="00A46C85">
      <w:pPr>
        <w:spacing w:after="0"/>
        <w:ind w:left="5664"/>
        <w:rPr>
          <w:rFonts w:cs="Times New Roman" w:eastAsia="Calibri"/>
          <w:lang w:eastAsia="hr-HR"/>
        </w:rPr>
      </w:pPr>
      <w:r w:rsidRPr="00A46C85">
        <w:rPr>
          <w:rFonts w:cs="Times New Roman" w:eastAsia="Calibri"/>
          <w:lang w:eastAsia="hr-HR"/>
        </w:rPr>
        <w:t xml:space="preserve">         </w:t>
      </w:r>
      <w:r w:rsidRPr="00A46C85">
        <w:rPr>
          <w:rFonts w:cs="Times New Roman" w:eastAsia="Times New Roman"/>
          <w:lang w:eastAsia="hr-HR"/>
        </w:rPr>
        <w:t>Poslovni broj 3. St-891/16-11</w:t>
      </w:r>
    </w:p>
    <w:p w:rsidRDefault="00A46C85" w:rsidP="00A46C85" w:rsidR="00A46C85" w:rsidRPr="00A46C85">
      <w:pPr>
        <w:spacing w:after="0"/>
        <w:ind w:left="708"/>
        <w:rPr>
          <w:rFonts w:cs="Times New Roman" w:eastAsia="Times New Roman"/>
          <w:lang w:eastAsia="hr-HR"/>
        </w:rPr>
      </w:pPr>
    </w:p>
    <w:p w:rsidRDefault="00A46C85" w:rsidP="00A46C85" w:rsidR="00A46C85" w:rsidRPr="00A46C85">
      <w:pPr>
        <w:spacing w:after="0"/>
        <w:ind w:left="708"/>
        <w:rPr>
          <w:rFonts w:cs="Times New Roman" w:eastAsia="Times New Roman"/>
          <w:lang w:eastAsia="hr-HR"/>
        </w:rPr>
      </w:pPr>
    </w:p>
    <w:p w:rsidRDefault="00A46C85" w:rsidP="00A46C85" w:rsidR="00A46C85" w:rsidRPr="00A46C85">
      <w:pPr>
        <w:spacing w:after="0"/>
        <w:ind w:left="708"/>
        <w:rPr>
          <w:rFonts w:cs="Times New Roman" w:eastAsia="Times New Roman"/>
          <w:lang w:eastAsia="hr-HR"/>
        </w:rPr>
      </w:pPr>
    </w:p>
    <w:p w:rsidRDefault="00A46C85" w:rsidP="00A46C85" w:rsidR="00A46C85" w:rsidRPr="00A46C85">
      <w:pPr>
        <w:spacing w:after="0"/>
        <w:ind w:left="708"/>
        <w:rPr>
          <w:rFonts w:cs="Times New Roman" w:eastAsia="Times New Roman"/>
          <w:lang w:eastAsia="hr-HR"/>
        </w:rPr>
      </w:pPr>
      <w:r w:rsidRPr="00A46C85">
        <w:rPr>
          <w:rFonts w:cs="Times New Roman" w:eastAsia="Times New Roman"/>
          <w:lang w:eastAsia="hr-HR"/>
        </w:rPr>
        <w:t xml:space="preserve">REPUBLIKA HRVATSKA </w:t>
      </w:r>
      <w:r w:rsidRPr="00A46C85">
        <w:rPr>
          <w:rFonts w:cs="Times New Roman" w:eastAsia="Times New Roman"/>
          <w:lang w:eastAsia="hr-HR"/>
        </w:rPr>
        <w:tab/>
      </w:r>
      <w:r w:rsidRPr="00A46C85">
        <w:rPr>
          <w:rFonts w:cs="Times New Roman" w:eastAsia="Times New Roman"/>
          <w:lang w:eastAsia="hr-HR"/>
        </w:rPr>
        <w:tab/>
      </w:r>
      <w:r w:rsidRPr="00A46C85">
        <w:rPr>
          <w:rFonts w:cs="Times New Roman" w:eastAsia="Times New Roman"/>
          <w:lang w:eastAsia="hr-HR"/>
        </w:rPr>
        <w:tab/>
        <w:t xml:space="preserve">    </w:t>
      </w:r>
    </w:p>
    <w:p w:rsidRDefault="00A46C85" w:rsidP="00A46C85" w:rsidR="00A46C85" w:rsidRPr="00A46C85">
      <w:pPr>
        <w:spacing w:after="0"/>
        <w:ind w:left="708"/>
        <w:rPr>
          <w:rFonts w:cs="Times New Roman" w:eastAsia="Times New Roman"/>
          <w:lang w:eastAsia="hr-HR"/>
        </w:rPr>
      </w:pPr>
      <w:r w:rsidRPr="00A46C85">
        <w:rPr>
          <w:rFonts w:cs="Times New Roman" w:eastAsia="Times New Roman"/>
          <w:lang w:eastAsia="hr-HR"/>
        </w:rPr>
        <w:t>TRGOVAČKI SUD U ZADRU</w:t>
      </w:r>
      <w:r w:rsidRPr="00A46C85">
        <w:rPr>
          <w:rFonts w:cs="Times New Roman" w:eastAsia="Times New Roman"/>
          <w:lang w:eastAsia="hr-HR"/>
        </w:rPr>
        <w:tab/>
      </w:r>
    </w:p>
    <w:p w:rsidRDefault="00A46C85" w:rsidP="00A46C85" w:rsidR="00A46C85" w:rsidRPr="00A46C85">
      <w:pPr>
        <w:spacing w:after="0"/>
        <w:ind w:firstLine="708"/>
        <w:rPr>
          <w:rFonts w:cs="Times New Roman" w:eastAsia="Times New Roman"/>
          <w:lang w:eastAsia="hr-HR"/>
        </w:rPr>
      </w:pPr>
      <w:r w:rsidRPr="00A46C85">
        <w:rPr>
          <w:rFonts w:cs="Times New Roman" w:eastAsia="Times New Roman"/>
          <w:lang w:eastAsia="hr-HR"/>
        </w:rPr>
        <w:t>Zadar, Dr. Franje Tuđmana 35</w:t>
      </w:r>
      <w:r w:rsidRPr="00A46C85">
        <w:rPr>
          <w:rFonts w:cs="Times New Roman" w:eastAsia="Times New Roman"/>
          <w:lang w:eastAsia="hr-HR"/>
        </w:rPr>
        <w:tab/>
      </w:r>
      <w:r w:rsidRPr="00A46C85">
        <w:rPr>
          <w:rFonts w:cs="Times New Roman" w:eastAsia="Times New Roman"/>
          <w:lang w:eastAsia="hr-HR"/>
        </w:rPr>
        <w:tab/>
      </w:r>
      <w:r w:rsidRPr="00A46C85">
        <w:rPr>
          <w:rFonts w:cs="Times New Roman" w:eastAsia="Times New Roman"/>
          <w:lang w:eastAsia="hr-HR"/>
        </w:rPr>
        <w:tab/>
      </w:r>
      <w:r w:rsidRPr="00A46C85">
        <w:rPr>
          <w:rFonts w:cs="Times New Roman" w:eastAsia="Times New Roman"/>
          <w:lang w:eastAsia="hr-HR"/>
        </w:rPr>
        <w:tab/>
      </w:r>
      <w:r w:rsidRPr="00A46C85">
        <w:rPr>
          <w:rFonts w:cs="Times New Roman" w:eastAsia="Times New Roman"/>
          <w:lang w:eastAsia="hr-HR"/>
        </w:rPr>
        <w:tab/>
      </w:r>
    </w:p>
    <w:p w:rsidRDefault="00A46C85" w:rsidP="00A46C85" w:rsidR="00A46C85" w:rsidRPr="00A46C85">
      <w:pPr>
        <w:spacing w:after="0"/>
        <w:jc w:val="center"/>
        <w:rPr>
          <w:rFonts w:cs="Times New Roman" w:eastAsia="Times New Roman"/>
          <w:lang w:eastAsia="hr-HR"/>
        </w:rPr>
      </w:pPr>
    </w:p>
    <w:p w:rsidRDefault="00A46C85" w:rsidP="00A46C85" w:rsidR="00A46C85" w:rsidRPr="00A46C85">
      <w:pPr>
        <w:spacing w:after="0"/>
        <w:jc w:val="center"/>
        <w:rPr>
          <w:rFonts w:cs="Times New Roman" w:eastAsia="Times New Roman"/>
          <w:lang w:eastAsia="hr-HR"/>
        </w:rPr>
      </w:pPr>
    </w:p>
    <w:p w:rsidRDefault="00A46C85" w:rsidP="00A46C85" w:rsidR="00A46C85" w:rsidRPr="00A46C85">
      <w:pPr>
        <w:spacing w:after="0"/>
        <w:jc w:val="center"/>
        <w:rPr>
          <w:rFonts w:cs="Times New Roman" w:eastAsia="Times New Roman"/>
          <w:lang w:eastAsia="hr-HR"/>
        </w:rPr>
      </w:pPr>
      <w:r w:rsidRPr="00A46C85">
        <w:rPr>
          <w:rFonts w:cs="Times New Roman" w:eastAsia="Times New Roman"/>
          <w:lang w:eastAsia="hr-HR"/>
        </w:rPr>
        <w:t xml:space="preserve">R E P U B L I K A  H R V A T S K A </w:t>
      </w:r>
    </w:p>
    <w:p w:rsidRDefault="00A46C85" w:rsidP="00A46C85" w:rsidR="00A46C85" w:rsidRPr="00A46C85">
      <w:pPr>
        <w:spacing w:after="0"/>
        <w:rPr>
          <w:rFonts w:cs="Times New Roman" w:eastAsia="Times New Roman"/>
          <w:lang w:eastAsia="hr-HR"/>
        </w:rPr>
      </w:pPr>
    </w:p>
    <w:p w:rsidRDefault="00A46C85" w:rsidP="00A46C85" w:rsidR="00A46C85" w:rsidRPr="00A46C85">
      <w:pPr>
        <w:tabs>
          <w:tab w:pos="4536" w:val="center"/>
          <w:tab w:pos="7695" w:val="left"/>
        </w:tabs>
        <w:spacing w:after="0"/>
        <w:rPr>
          <w:rFonts w:cs="Times New Roman" w:eastAsia="Times New Roman"/>
          <w:lang w:eastAsia="hr-HR"/>
        </w:rPr>
      </w:pPr>
      <w:r w:rsidRPr="00A46C85">
        <w:rPr>
          <w:rFonts w:cs="Times New Roman" w:eastAsia="Times New Roman"/>
          <w:lang w:eastAsia="hr-HR"/>
        </w:rPr>
        <w:tab/>
        <w:t>R J E Š E N J E</w:t>
      </w:r>
      <w:r w:rsidRPr="00A46C85">
        <w:rPr>
          <w:rFonts w:cs="Times New Roman" w:eastAsia="Times New Roman"/>
          <w:lang w:eastAsia="hr-HR"/>
        </w:rPr>
        <w:tab/>
      </w:r>
    </w:p>
    <w:p w:rsidRDefault="00A46C85" w:rsidP="00A46C85" w:rsidR="00A46C85" w:rsidRPr="00A46C85">
      <w:pPr>
        <w:spacing w:after="0"/>
        <w:jc w:val="both"/>
        <w:rPr>
          <w:rFonts w:cs="Times New Roman" w:eastAsia="Times New Roman"/>
          <w:lang w:eastAsia="hr-HR"/>
        </w:rPr>
      </w:pPr>
    </w:p>
    <w:p w:rsidRDefault="00A46C85" w:rsidP="00A46C85" w:rsidR="00A46C85" w:rsidRPr="00A46C85">
      <w:pPr>
        <w:spacing w:after="0"/>
        <w:ind w:firstLine="705"/>
        <w:jc w:val="both"/>
        <w:rPr>
          <w:rFonts w:cs="Times New Roman" w:eastAsia="Times New Roman"/>
          <w:lang w:eastAsia="hr-HR"/>
        </w:rPr>
      </w:pPr>
      <w:r w:rsidRPr="00A46C85">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stečajnoga postupka nad dužnikom DE GEORGIIS d.o.o. sa sjedištem u Zadru Ulica Bože </w:t>
      </w:r>
      <w:proofErr w:type="spellStart"/>
      <w:r w:rsidRPr="00A46C85">
        <w:rPr>
          <w:rFonts w:cs="Times New Roman" w:eastAsia="Times New Roman"/>
          <w:lang w:eastAsia="hr-HR"/>
        </w:rPr>
        <w:t>Peričića</w:t>
      </w:r>
      <w:proofErr w:type="spellEnd"/>
      <w:r w:rsidRPr="00A46C85">
        <w:rPr>
          <w:rFonts w:cs="Times New Roman" w:eastAsia="Times New Roman"/>
          <w:lang w:eastAsia="hr-HR"/>
        </w:rPr>
        <w:t xml:space="preserve"> 14, OIB: 94254533029, zastupanim po direktoru Damiru Jurjeviću iz Vira, a ovaj po punomoćnicima odvjetnicima iz Odvjetničkog društva Franko Kotlar, Ana </w:t>
      </w:r>
      <w:proofErr w:type="spellStart"/>
      <w:r w:rsidRPr="00A46C85">
        <w:rPr>
          <w:rFonts w:cs="Times New Roman" w:eastAsia="Times New Roman"/>
          <w:lang w:eastAsia="hr-HR"/>
        </w:rPr>
        <w:t>Vidov</w:t>
      </w:r>
      <w:proofErr w:type="spellEnd"/>
      <w:r w:rsidRPr="00A46C85">
        <w:rPr>
          <w:rFonts w:cs="Times New Roman" w:eastAsia="Times New Roman"/>
          <w:lang w:eastAsia="hr-HR"/>
        </w:rPr>
        <w:t xml:space="preserve"> i partneri d.o.o. u Zadru, 21. prosinca 2016. </w:t>
      </w:r>
    </w:p>
    <w:p w:rsidRDefault="00A46C85" w:rsidP="00A46C85" w:rsidR="00A46C85" w:rsidRPr="00A46C85">
      <w:pPr>
        <w:spacing w:after="0"/>
        <w:rPr>
          <w:rFonts w:cs="Times New Roman" w:eastAsia="Calibri"/>
          <w:bCs/>
          <w:lang w:eastAsia="hr-HR"/>
        </w:rPr>
      </w:pPr>
    </w:p>
    <w:p w:rsidRDefault="00A46C85" w:rsidP="00A46C85" w:rsidR="00A46C85" w:rsidRPr="00A46C85">
      <w:pPr>
        <w:spacing w:after="0"/>
        <w:jc w:val="center"/>
        <w:rPr>
          <w:rFonts w:cs="Times New Roman" w:eastAsia="Calibri"/>
          <w:bCs/>
          <w:lang w:eastAsia="hr-HR"/>
        </w:rPr>
      </w:pPr>
      <w:r w:rsidRPr="00A46C85">
        <w:rPr>
          <w:rFonts w:cs="Times New Roman" w:eastAsia="Calibri"/>
          <w:bCs/>
          <w:lang w:eastAsia="hr-HR"/>
        </w:rPr>
        <w:t xml:space="preserve">r i j e š i o   j e </w:t>
      </w:r>
    </w:p>
    <w:p w:rsidRDefault="00A46C85" w:rsidP="00A46C85" w:rsidR="00A46C85" w:rsidRPr="00A46C85">
      <w:pPr>
        <w:spacing w:after="0"/>
        <w:jc w:val="both"/>
        <w:rPr>
          <w:rFonts w:cs="Times New Roman" w:eastAsia="Calibri"/>
        </w:rPr>
      </w:pPr>
    </w:p>
    <w:p w:rsidRDefault="00A46C85" w:rsidP="00A46C85" w:rsidR="00A46C85" w:rsidRPr="00A46C85">
      <w:pPr>
        <w:spacing w:after="0"/>
        <w:ind w:firstLine="720"/>
        <w:jc w:val="both"/>
        <w:rPr>
          <w:rFonts w:cs="Times New Roman" w:eastAsia="Calibri"/>
          <w:lang w:eastAsia="hr-HR"/>
        </w:rPr>
      </w:pPr>
      <w:r w:rsidRPr="00A46C85">
        <w:rPr>
          <w:rFonts w:cs="Times New Roman" w:eastAsia="Calibri"/>
          <w:lang w:eastAsia="hr-HR"/>
        </w:rPr>
        <w:t xml:space="preserve">I. Odobrava se pristupanje dugu stečajnog dužnika </w:t>
      </w:r>
      <w:r w:rsidRPr="00A46C85">
        <w:rPr>
          <w:rFonts w:cs="Times New Roman" w:eastAsia="Times New Roman"/>
          <w:lang w:eastAsia="hr-HR"/>
        </w:rPr>
        <w:t xml:space="preserve">DE GEORGIIS d.o.o. sa sjedištem u Zadru Ulica Bože </w:t>
      </w:r>
      <w:proofErr w:type="spellStart"/>
      <w:r w:rsidRPr="00A46C85">
        <w:rPr>
          <w:rFonts w:cs="Times New Roman" w:eastAsia="Times New Roman"/>
          <w:lang w:eastAsia="hr-HR"/>
        </w:rPr>
        <w:t>Peričića</w:t>
      </w:r>
      <w:proofErr w:type="spellEnd"/>
      <w:r w:rsidRPr="00A46C85">
        <w:rPr>
          <w:rFonts w:cs="Times New Roman" w:eastAsia="Times New Roman"/>
          <w:lang w:eastAsia="hr-HR"/>
        </w:rPr>
        <w:t xml:space="preserve"> 14, OIB: 94254533029, </w:t>
      </w:r>
      <w:r w:rsidRPr="00A46C85">
        <w:rPr>
          <w:rFonts w:cs="Times New Roman" w:eastAsia="Calibri"/>
          <w:lang w:eastAsia="hr-HR"/>
        </w:rPr>
        <w:t xml:space="preserve">po izjavi o pristupanju dugu danoj od strane </w:t>
      </w:r>
      <w:proofErr w:type="spellStart"/>
      <w:r w:rsidRPr="00A46C85">
        <w:rPr>
          <w:rFonts w:cs="Times New Roman" w:eastAsia="Calibri"/>
          <w:lang w:eastAsia="hr-HR"/>
        </w:rPr>
        <w:t>pristupitelja</w:t>
      </w:r>
      <w:proofErr w:type="spellEnd"/>
      <w:r w:rsidRPr="00A46C85">
        <w:rPr>
          <w:rFonts w:cs="Times New Roman" w:eastAsia="Calibri"/>
          <w:lang w:eastAsia="hr-HR"/>
        </w:rPr>
        <w:t xml:space="preserve"> trgovačkog društva VOX NOVA d.o.o., Zagreb, </w:t>
      </w:r>
      <w:proofErr w:type="spellStart"/>
      <w:r w:rsidRPr="00A46C85">
        <w:rPr>
          <w:rFonts w:cs="Times New Roman" w:eastAsia="Calibri"/>
          <w:lang w:eastAsia="hr-HR"/>
        </w:rPr>
        <w:t>Bijenička</w:t>
      </w:r>
      <w:proofErr w:type="spellEnd"/>
      <w:r w:rsidRPr="00A46C85">
        <w:rPr>
          <w:rFonts w:cs="Times New Roman" w:eastAsia="Calibri"/>
          <w:lang w:eastAsia="hr-HR"/>
        </w:rPr>
        <w:t xml:space="preserve"> cesta 17, OIB: 36867454817 i jamca VEDRANE JURJEVIĆ iz Vira, </w:t>
      </w:r>
      <w:proofErr w:type="spellStart"/>
      <w:r w:rsidRPr="00A46C85">
        <w:rPr>
          <w:rFonts w:cs="Times New Roman" w:eastAsia="Calibri"/>
          <w:lang w:eastAsia="hr-HR"/>
        </w:rPr>
        <w:t>Miljkovica</w:t>
      </w:r>
      <w:proofErr w:type="spellEnd"/>
      <w:r w:rsidRPr="00A46C85">
        <w:rPr>
          <w:rFonts w:cs="Times New Roman" w:eastAsia="Calibri"/>
          <w:lang w:eastAsia="hr-HR"/>
        </w:rPr>
        <w:t xml:space="preserve"> IV/19, OIB: 97248841011 dostavljenoj u spis 14. prosinca 2016. te po javnoj bilježnici Silvani </w:t>
      </w:r>
      <w:proofErr w:type="spellStart"/>
      <w:r w:rsidRPr="00A46C85">
        <w:rPr>
          <w:rFonts w:cs="Times New Roman" w:eastAsia="Calibri"/>
          <w:lang w:eastAsia="hr-HR"/>
        </w:rPr>
        <w:t>Grdović</w:t>
      </w:r>
      <w:proofErr w:type="spellEnd"/>
      <w:r w:rsidRPr="00A46C85">
        <w:rPr>
          <w:rFonts w:cs="Times New Roman" w:eastAsia="Calibri"/>
          <w:lang w:eastAsia="hr-HR"/>
        </w:rPr>
        <w:t xml:space="preserve"> u Zadru ovjerovljenoj ispravi istih broj OV-11318/16 od 14. prosinca 2016. o sadržaju i načinu podmirenja dužnikovih obveza.   </w:t>
      </w:r>
    </w:p>
    <w:p w:rsidRDefault="00A46C85" w:rsidP="00A46C85" w:rsidR="00A46C85" w:rsidRPr="00A46C85">
      <w:pPr>
        <w:spacing w:after="0"/>
        <w:ind w:firstLine="720"/>
        <w:jc w:val="both"/>
        <w:rPr>
          <w:rFonts w:cs="Times New Roman" w:eastAsia="Calibri"/>
          <w:lang w:eastAsia="hr-HR"/>
        </w:rPr>
      </w:pPr>
    </w:p>
    <w:p w:rsidRDefault="00A46C85" w:rsidP="00A46C85" w:rsidR="00A46C85" w:rsidRPr="00A46C85">
      <w:pPr>
        <w:spacing w:after="0"/>
        <w:ind w:firstLine="720"/>
        <w:jc w:val="both"/>
        <w:rPr>
          <w:rFonts w:cs="Times New Roman" w:eastAsia="Times New Roman"/>
          <w:lang w:eastAsia="hr-HR"/>
        </w:rPr>
      </w:pPr>
      <w:r w:rsidRPr="00A46C85">
        <w:rPr>
          <w:rFonts w:cs="Times New Roman" w:eastAsia="Calibri"/>
          <w:lang w:eastAsia="hr-HR"/>
        </w:rPr>
        <w:t xml:space="preserve">II. Obustavlja se stečajni postupak nad dužnikom </w:t>
      </w:r>
      <w:r w:rsidRPr="00A46C85">
        <w:rPr>
          <w:rFonts w:cs="Times New Roman" w:eastAsia="Times New Roman"/>
          <w:lang w:eastAsia="hr-HR"/>
        </w:rPr>
        <w:t xml:space="preserve">DE GEORGIIS d.o.o. sa sjedištem u Zadru Ulica Bože </w:t>
      </w:r>
      <w:proofErr w:type="spellStart"/>
      <w:r w:rsidRPr="00A46C85">
        <w:rPr>
          <w:rFonts w:cs="Times New Roman" w:eastAsia="Times New Roman"/>
          <w:lang w:eastAsia="hr-HR"/>
        </w:rPr>
        <w:t>Peričića</w:t>
      </w:r>
      <w:proofErr w:type="spellEnd"/>
      <w:r w:rsidRPr="00A46C85">
        <w:rPr>
          <w:rFonts w:cs="Times New Roman" w:eastAsia="Times New Roman"/>
          <w:lang w:eastAsia="hr-HR"/>
        </w:rPr>
        <w:t xml:space="preserve"> 14, OIB: 94254533029.</w:t>
      </w:r>
    </w:p>
    <w:p w:rsidRDefault="00A46C85" w:rsidP="00A46C85" w:rsidR="00A46C85" w:rsidRPr="00A46C85">
      <w:pPr>
        <w:spacing w:after="0"/>
        <w:ind w:firstLine="720"/>
        <w:jc w:val="both"/>
        <w:rPr>
          <w:rFonts w:cs="Times New Roman" w:eastAsia="Calibri"/>
          <w:lang w:eastAsia="hr-HR"/>
        </w:rPr>
      </w:pPr>
    </w:p>
    <w:p w:rsidRDefault="00A46C85" w:rsidP="00A46C85" w:rsidR="00A46C85" w:rsidRPr="00A46C85">
      <w:pPr>
        <w:spacing w:after="0"/>
        <w:jc w:val="center"/>
        <w:rPr>
          <w:rFonts w:cs="Times New Roman" w:eastAsia="Calibri"/>
          <w:lang w:eastAsia="hr-HR"/>
        </w:rPr>
      </w:pPr>
      <w:r w:rsidRPr="00A46C85">
        <w:rPr>
          <w:rFonts w:cs="Times New Roman" w:eastAsia="Calibri"/>
          <w:lang w:eastAsia="hr-HR"/>
        </w:rPr>
        <w:t>Obrazloženje</w:t>
      </w:r>
    </w:p>
    <w:p w:rsidRDefault="00A46C85" w:rsidP="00A46C85" w:rsidR="00A46C85" w:rsidRPr="00A46C85">
      <w:pPr>
        <w:spacing w:after="0"/>
        <w:jc w:val="center"/>
        <w:rPr>
          <w:rFonts w:cs="Times New Roman" w:eastAsia="Calibri"/>
          <w:lang w:eastAsia="hr-HR"/>
        </w:rPr>
      </w:pP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Rješenjem ovog suda poslovni broj gornji od 7. srpnja 2016., a na prijedlog Financijske agencije, Regionalnog centra Split, Podružnice Zadar od 27. lipnja 2016. za otvaranje stečajnog postupka nad uvodno označenim stečajnim dužnikom, pokrenut je prethodni postupak radi utvrđivanja pretpostavki za otvaranje stečajnoga postupka nad istim. </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Na ročištima radi očitovanja o prijedlogu za otvaranje stečajnog postupka i radi rasprave o uvjetima za otvaranje stečajnog postupka nad dužnikom od 13. rujna 2016. i 30. studenog 2016., punomoćnik dužnika je predložio sudu odgodu ročišta radi mogućnosti podmirenja predmetnog dugovanja. </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lastRenderedPageBreak/>
        <w:t xml:space="preserve">Podneskom od 14. prosinca 2016. društvo VOX NOVA d.o.o., Zagreb i jamac Vedrana Jurjević iz Vira kao treće osobe dostavile su u spis izjavu o pristupanju dugu stečajnoga dužnika uz koju su priložile od javnog bilježnika ovjerovljenu ispravu o sadržaju i načinu ispunjenja dužnikovih obveza od 14. prosinca 2016. te javnobilježnički ovjerovljenu bjanko zadužnicu u iznosu od 1.000.000.00, kuna od istog dana. </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Odredbom čl. 124. stavka 1. Stečajnog zakona (Narodne novine 71/15, u nastavku teksta: SZ) je propisano da treća osoba može na ročištu iz čl. 123. istog dati izjavu o pristupanju dugu stečajnog dužnika uz koju je dužna predočiti od javnoga bilježnika ovjerovljenu ispravu o sadržaju i načinu ispunjenja dužnikovih obveza, te da će sud ocijeniti danu izjavu i prema potrebi provjeriti je i zatražiti odgovarajuće jamstvo. Nadalje, odredbom čl. 124. st. 3. SZ-a je propisano da će sud odobriti pristupanje dugu ako se </w:t>
      </w:r>
      <w:proofErr w:type="spellStart"/>
      <w:r w:rsidRPr="00A46C85">
        <w:rPr>
          <w:rFonts w:cs="Times New Roman" w:eastAsia="Calibri"/>
          <w:lang w:eastAsia="hr-HR"/>
        </w:rPr>
        <w:t>pristupitelj</w:t>
      </w:r>
      <w:proofErr w:type="spellEnd"/>
      <w:r w:rsidRPr="00A46C85">
        <w:rPr>
          <w:rFonts w:cs="Times New Roman" w:eastAsia="Calibri"/>
          <w:lang w:eastAsia="hr-HR"/>
        </w:rPr>
        <w:t xml:space="preserve"> obvezao da će najkasnije u roku od dva mjeseca od dana donošenja rješenja o odobrenju pristupanja dugu ispuniti sve dospjele obveze stečajnog dužnika, a ostale, u vrijeme pristupanja dugu već nastale obveze, kako budu dospijevale.</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Uvidom u izjavu navedenih </w:t>
      </w:r>
      <w:proofErr w:type="spellStart"/>
      <w:r w:rsidRPr="00A46C85">
        <w:rPr>
          <w:rFonts w:cs="Times New Roman" w:eastAsia="Calibri"/>
          <w:lang w:eastAsia="hr-HR"/>
        </w:rPr>
        <w:t>pristupitelja</w:t>
      </w:r>
      <w:proofErr w:type="spellEnd"/>
      <w:r w:rsidRPr="00A46C85">
        <w:rPr>
          <w:rFonts w:cs="Times New Roman" w:eastAsia="Calibri"/>
          <w:lang w:eastAsia="hr-HR"/>
        </w:rPr>
        <w:t xml:space="preserve"> dugu stečajnoga dužnika te uvidom u javnobilježnički ovjerovljenu ispravu o sadržaju i načinu podmirenja dužnikovih obveza od 14. prosinca 2016. utvrđeno je da su se istom </w:t>
      </w:r>
      <w:proofErr w:type="spellStart"/>
      <w:r w:rsidRPr="00A46C85">
        <w:rPr>
          <w:rFonts w:cs="Times New Roman" w:eastAsia="Calibri"/>
          <w:lang w:eastAsia="hr-HR"/>
        </w:rPr>
        <w:t>pristupitelj</w:t>
      </w:r>
      <w:proofErr w:type="spellEnd"/>
      <w:r w:rsidRPr="00A46C85">
        <w:rPr>
          <w:rFonts w:cs="Times New Roman" w:eastAsia="Calibri"/>
          <w:lang w:eastAsia="hr-HR"/>
        </w:rPr>
        <w:t xml:space="preserve"> i jamac obvezali da će najkasnije u roku od dva mjeseca od dana donošenja rješenja o odobrenju pristupanja dugu namiriti sve dospjele obveze stečajnog dužnika, a ostale, u vrijeme pristupanja dugu već nastale obveze, kako budu dospijevale i to novčanom uplatom, sve sukladno odredbi čl. 124. st. 3. SZ-a. </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S obzirom da je uz navedenu izjavu o pristupanju dugu stečajnoga dužnika priloženo odgovarajuće jamstvo za ispunjenje obveza stečajnoga dužnika u obliku privatne isprave – javnobilježnički ovjerovljene bjanko zadužnice dane od društva </w:t>
      </w:r>
      <w:proofErr w:type="spellStart"/>
      <w:r w:rsidRPr="00A46C85">
        <w:rPr>
          <w:rFonts w:cs="Times New Roman" w:eastAsia="Calibri"/>
          <w:lang w:eastAsia="hr-HR"/>
        </w:rPr>
        <w:t>Vox</w:t>
      </w:r>
      <w:proofErr w:type="spellEnd"/>
      <w:r w:rsidRPr="00A46C85">
        <w:rPr>
          <w:rFonts w:cs="Times New Roman" w:eastAsia="Calibri"/>
          <w:lang w:eastAsia="hr-HR"/>
        </w:rPr>
        <w:t xml:space="preserve"> Nova d.o.o.,  Zagreb u iznosu od 1.000.000,00 kuna, a uzimajući u obzir da je predmetno dugovanje dužnika na dan 27. lipnja 2016. evidentirano u iznosu od 609.388,80 kuna, to je ovaj sud navedenu izjavu ocijenio valjanom.</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Ističe se da davatelj izjave o pristupanju dugu i njegovi jamci solidarno odgovaraju s dužnikom za njegove obveze koje su nastale do dana izjave o pristupanju dugu te da vjerovnici stečajnog dužnika čija je tražbina prema dužniku nastala do pristupanja dugu i koja je utvrđena ovršnom ispravom mogu na temelju te isprave i ovog rješenja izravno tražiti ovrhu protiv </w:t>
      </w:r>
      <w:proofErr w:type="spellStart"/>
      <w:r w:rsidRPr="00A46C85">
        <w:rPr>
          <w:rFonts w:cs="Times New Roman" w:eastAsia="Calibri"/>
          <w:lang w:eastAsia="hr-HR"/>
        </w:rPr>
        <w:t>pristupitelja</w:t>
      </w:r>
      <w:proofErr w:type="spellEnd"/>
      <w:r w:rsidRPr="00A46C85">
        <w:rPr>
          <w:rFonts w:cs="Times New Roman" w:eastAsia="Calibri"/>
          <w:lang w:eastAsia="hr-HR"/>
        </w:rPr>
        <w:t xml:space="preserve"> i njegovih jamaca u smislu odredbi čl. 128. st. 4. i 6. SZ-a. Također se napominje da dužnik odgovara solidarno s </w:t>
      </w:r>
      <w:proofErr w:type="spellStart"/>
      <w:r w:rsidRPr="00A46C85">
        <w:rPr>
          <w:rFonts w:cs="Times New Roman" w:eastAsia="Calibri"/>
          <w:lang w:eastAsia="hr-HR"/>
        </w:rPr>
        <w:t>pristupiteljem</w:t>
      </w:r>
      <w:proofErr w:type="spellEnd"/>
      <w:r w:rsidRPr="00A46C85">
        <w:rPr>
          <w:rFonts w:cs="Times New Roman" w:eastAsia="Calibri"/>
          <w:lang w:eastAsia="hr-HR"/>
        </w:rPr>
        <w:t xml:space="preserve"> dugu za preuzete obveze te da vjerovnici koji prema stečajnom dužniku imaju ovršnu ispravu mogu i nakon pristupanja dugu izravno na temelju iste tražiti ovrhu prema dužniku u smislu odredbe čl. 128. st. 7. SZ-a.</w:t>
      </w:r>
    </w:p>
    <w:p w:rsidRDefault="00A46C85" w:rsidP="00A46C85" w:rsidR="00A46C85" w:rsidRPr="00A46C85">
      <w:pPr>
        <w:spacing w:after="0"/>
        <w:ind w:firstLine="708"/>
        <w:jc w:val="both"/>
        <w:rPr>
          <w:rFonts w:cs="Times New Roman" w:eastAsia="Calibri"/>
          <w:lang w:eastAsia="hr-HR"/>
        </w:rPr>
      </w:pPr>
      <w:r w:rsidRPr="00A46C85">
        <w:rPr>
          <w:rFonts w:cs="Times New Roman" w:eastAsia="Calibri"/>
          <w:lang w:eastAsia="hr-HR"/>
        </w:rPr>
        <w:t xml:space="preserve">Slijedom svega navedenog, a s obzirom da je uz izjavu </w:t>
      </w:r>
      <w:proofErr w:type="spellStart"/>
      <w:r w:rsidRPr="00A46C85">
        <w:rPr>
          <w:rFonts w:cs="Times New Roman" w:eastAsia="Calibri"/>
          <w:lang w:eastAsia="hr-HR"/>
        </w:rPr>
        <w:t>pristupitelja</w:t>
      </w:r>
      <w:proofErr w:type="spellEnd"/>
      <w:r w:rsidRPr="00A46C85">
        <w:rPr>
          <w:rFonts w:cs="Times New Roman" w:eastAsia="Calibri"/>
          <w:lang w:eastAsia="hr-HR"/>
        </w:rPr>
        <w:t xml:space="preserve"> i jamca o pristupanju dugu stečajnog dužnika priložena po javnom bilježniku ovjerovljena isprava o sadržaju i načinu ispunjenja dužnikovih obveza koja sadržajno odgovara uvjetima propisanima čl. 128. st. 3. SZ-a te da su za istu dana odgovarajuća jamstva tj. pokriće u vidu naprijed označene privatne isprave, ovaj sud je ocijenio da je ista valjana zbog čega je temeljem odredbe čl. 128. st. 1., 3. i 5. SZ-a valjalo donijeti odluku kao u točki I. i II. izreke ovog rješenja.</w:t>
      </w:r>
    </w:p>
    <w:p w:rsidRDefault="00A46C85" w:rsidP="00A46C85" w:rsidR="00A46C85" w:rsidRPr="00A46C85">
      <w:pPr>
        <w:spacing w:after="0"/>
        <w:jc w:val="center"/>
        <w:rPr>
          <w:rFonts w:cs="Times New Roman" w:eastAsia="Calibri"/>
          <w:lang w:eastAsia="hr-HR"/>
        </w:rPr>
      </w:pPr>
    </w:p>
    <w:p w:rsidRDefault="00A46C85" w:rsidP="00A46C85" w:rsidR="00A46C85" w:rsidRPr="00A46C85">
      <w:pPr>
        <w:spacing w:after="0"/>
        <w:jc w:val="center"/>
        <w:rPr>
          <w:rFonts w:cs="Times New Roman" w:eastAsia="Calibri"/>
          <w:lang w:eastAsia="hr-HR"/>
        </w:rPr>
      </w:pPr>
      <w:r w:rsidRPr="00A46C85">
        <w:rPr>
          <w:rFonts w:cs="Times New Roman" w:eastAsia="Calibri"/>
          <w:lang w:eastAsia="hr-HR"/>
        </w:rPr>
        <w:t xml:space="preserve">U Zadru 21. prosinca 2016. </w:t>
      </w:r>
    </w:p>
    <w:p w:rsidRDefault="00A46C85" w:rsidP="00A46C85" w:rsidR="00A46C85" w:rsidRPr="00A46C85">
      <w:pPr>
        <w:spacing w:after="0"/>
        <w:rPr>
          <w:rFonts w:cs="Times New Roman" w:eastAsia="Calibri"/>
          <w:lang w:eastAsia="hr-HR"/>
        </w:rPr>
      </w:pPr>
    </w:p>
    <w:p w:rsidRDefault="00A46C85" w:rsidP="00A46C85" w:rsidR="00A46C85" w:rsidRPr="00A46C85">
      <w:pPr>
        <w:spacing w:after="0"/>
        <w:rPr>
          <w:rFonts w:cs="Times New Roman" w:eastAsia="Calibri"/>
          <w:lang w:eastAsia="hr-HR"/>
        </w:rPr>
      </w:pPr>
    </w:p>
    <w:p w:rsidRDefault="00A46C85" w:rsidP="00A46C85" w:rsidR="00A46C85" w:rsidRPr="00A46C85">
      <w:pPr>
        <w:spacing w:after="0"/>
        <w:ind w:firstLine="708"/>
        <w:jc w:val="right"/>
        <w:rPr>
          <w:rFonts w:cs="Times New Roman" w:eastAsia="Calibri"/>
          <w:lang w:eastAsia="hr-HR"/>
        </w:rPr>
      </w:pPr>
      <w:r w:rsidRPr="00A46C85">
        <w:rPr>
          <w:rFonts w:cs="Times New Roman" w:eastAsia="Calibri"/>
          <w:lang w:eastAsia="hr-HR"/>
        </w:rPr>
        <w:t xml:space="preserve">                                            Sutkinja</w:t>
      </w:r>
    </w:p>
    <w:p w:rsidRDefault="00A46C85" w:rsidP="00A46C85" w:rsidR="00A46C85" w:rsidRPr="00A46C85">
      <w:pPr>
        <w:spacing w:after="0"/>
        <w:ind w:firstLine="708"/>
        <w:jc w:val="right"/>
        <w:rPr>
          <w:rFonts w:cs="Times New Roman" w:eastAsia="Calibri"/>
          <w:lang w:eastAsia="hr-HR"/>
        </w:rPr>
      </w:pPr>
      <w:r w:rsidRPr="00A46C85">
        <w:rPr>
          <w:rFonts w:cs="Times New Roman" w:eastAsia="Calibri"/>
          <w:lang w:eastAsia="hr-HR"/>
        </w:rPr>
        <w:t xml:space="preserve">Tina Grgas </w:t>
      </w:r>
    </w:p>
    <w:p w:rsidRDefault="00A46C85" w:rsidP="00A46C85" w:rsidR="00A46C85" w:rsidRPr="00A46C85">
      <w:pPr>
        <w:spacing w:after="0"/>
        <w:ind w:firstLine="360"/>
        <w:rPr>
          <w:rFonts w:cs="Times New Roman" w:eastAsia="Calibri"/>
          <w:lang w:eastAsia="hr-HR"/>
        </w:rPr>
      </w:pPr>
    </w:p>
    <w:p w:rsidRDefault="00A46C85" w:rsidP="00A46C85" w:rsidR="00A46C85" w:rsidRPr="00A46C85">
      <w:pPr>
        <w:spacing w:after="0"/>
        <w:ind w:firstLine="360"/>
        <w:rPr>
          <w:rFonts w:cs="Times New Roman" w:eastAsia="Calibri"/>
          <w:lang w:eastAsia="hr-HR"/>
        </w:rPr>
      </w:pPr>
      <w:r w:rsidRPr="00A46C85">
        <w:rPr>
          <w:rFonts w:cs="Times New Roman" w:eastAsia="Calibri"/>
          <w:lang w:eastAsia="hr-HR"/>
        </w:rPr>
        <w:t>UPUTA O PRAVNOM LIJEKU:</w:t>
      </w:r>
    </w:p>
    <w:p w:rsidRDefault="00A46C85" w:rsidP="00A46C85" w:rsidR="00A46C85" w:rsidRPr="00A46C85">
      <w:pPr>
        <w:spacing w:after="0"/>
        <w:ind w:firstLine="360" w:right="23"/>
        <w:jc w:val="both"/>
        <w:rPr>
          <w:rFonts w:cs="Times New Roman" w:eastAsia="Calibri"/>
          <w:lang w:eastAsia="hr-HR"/>
        </w:rPr>
      </w:pPr>
      <w:r w:rsidRPr="00A46C85">
        <w:rPr>
          <w:rFonts w:cs="Times New Roman" w:eastAsia="Calibri"/>
          <w:lang w:eastAsia="hr-HR"/>
        </w:rPr>
        <w:lastRenderedPageBreak/>
        <w:t>Protiv ovog rješenja predlagatelj i dužnik imaju pravo izjaviti žalbu u roku od 8 dana od dana dostave ovog rješenja, a dostava se smatra obavljenom istekom osmoga dana do dana objave rješenja na mrežnoj stranici e-oglasna ploča sudova. Žalba se podnosi ovom sudu pisanim putem u tri istovjetna primjerka, a o istoj odlučuje Visoki trgovački sud Republike Hrvatske.</w:t>
      </w:r>
    </w:p>
    <w:p w:rsidRDefault="00A46C85" w:rsidP="00A46C85" w:rsidR="00A46C85" w:rsidRPr="00A46C85">
      <w:pPr>
        <w:spacing w:after="0"/>
        <w:ind w:firstLine="360" w:right="23"/>
        <w:jc w:val="both"/>
        <w:rPr>
          <w:rFonts w:cs="Times New Roman" w:eastAsia="Calibri"/>
          <w:lang w:eastAsia="hr-HR"/>
        </w:rPr>
      </w:pPr>
    </w:p>
    <w:p w:rsidRDefault="00A46C85" w:rsidP="00A46C85" w:rsidR="00A46C85" w:rsidRPr="00A46C85">
      <w:pPr>
        <w:spacing w:after="0"/>
        <w:ind w:firstLine="360" w:right="23"/>
        <w:jc w:val="both"/>
        <w:rPr>
          <w:rFonts w:cs="Times New Roman" w:eastAsia="Calibri"/>
          <w:lang w:eastAsia="hr-HR"/>
        </w:rPr>
      </w:pPr>
    </w:p>
    <w:p w:rsidRDefault="00A46C85" w:rsidP="00A46C85" w:rsidR="00A46C85" w:rsidRPr="00A46C85">
      <w:pPr>
        <w:spacing w:after="0"/>
        <w:ind w:firstLine="360" w:right="23"/>
        <w:jc w:val="both"/>
        <w:rPr>
          <w:rFonts w:cs="Times New Roman" w:eastAsia="Calibri"/>
          <w:lang w:eastAsia="hr-HR"/>
        </w:rPr>
      </w:pPr>
    </w:p>
    <w:p w:rsidRDefault="00A46C85" w:rsidP="00A46C85" w:rsidR="00A46C85" w:rsidRPr="00A46C85">
      <w:pPr>
        <w:spacing w:after="0"/>
        <w:ind w:firstLine="360" w:right="23"/>
        <w:jc w:val="both"/>
        <w:rPr>
          <w:rFonts w:cs="Times New Roman" w:eastAsia="Calibri"/>
          <w:lang w:eastAsia="hr-HR"/>
        </w:rPr>
      </w:pPr>
      <w:r w:rsidRPr="00A46C85">
        <w:rPr>
          <w:rFonts w:cs="Times New Roman" w:eastAsia="Calibri"/>
          <w:lang w:eastAsia="hr-HR"/>
        </w:rPr>
        <w:t>DNA:</w:t>
      </w:r>
    </w:p>
    <w:p w:rsidRDefault="00A46C85" w:rsidP="00A46C85" w:rsidR="00A46C85" w:rsidRPr="00A46C85">
      <w:pPr>
        <w:spacing w:after="0"/>
        <w:ind w:firstLine="360"/>
        <w:jc w:val="both"/>
        <w:rPr>
          <w:rFonts w:cs="Times New Roman" w:eastAsia="Calibri"/>
          <w:lang w:eastAsia="hr-HR"/>
        </w:rPr>
      </w:pPr>
      <w:r w:rsidRPr="00A46C85">
        <w:rPr>
          <w:rFonts w:cs="Times New Roman" w:eastAsia="Calibri"/>
          <w:lang w:eastAsia="hr-HR"/>
        </w:rPr>
        <w:t>1. Predlagatelju FINA, RC Split, Podružnica Zadar</w:t>
      </w:r>
    </w:p>
    <w:p w:rsidRDefault="00A46C85" w:rsidP="00A46C85" w:rsidR="00A46C85" w:rsidRPr="00A46C85">
      <w:pPr>
        <w:spacing w:after="0"/>
        <w:ind w:left="360"/>
        <w:jc w:val="both"/>
        <w:rPr>
          <w:rFonts w:cs="Times New Roman" w:eastAsia="Calibri"/>
          <w:lang w:eastAsia="hr-HR"/>
        </w:rPr>
      </w:pPr>
      <w:r w:rsidRPr="00A46C85">
        <w:rPr>
          <w:rFonts w:cs="Times New Roman" w:eastAsia="Calibri"/>
          <w:lang w:eastAsia="hr-HR"/>
        </w:rPr>
        <w:t xml:space="preserve">2. Dužniku po punomoćnicima </w:t>
      </w:r>
    </w:p>
    <w:p w:rsidRDefault="00A46C85" w:rsidP="00A46C85" w:rsidR="00A46C85" w:rsidRPr="00A46C85">
      <w:pPr>
        <w:spacing w:after="0"/>
        <w:ind w:firstLine="360"/>
        <w:jc w:val="both"/>
        <w:rPr>
          <w:rFonts w:cs="Times New Roman" w:eastAsia="Calibri"/>
          <w:lang w:eastAsia="hr-HR"/>
        </w:rPr>
      </w:pPr>
      <w:r w:rsidRPr="00A46C85">
        <w:rPr>
          <w:rFonts w:cs="Times New Roman" w:eastAsia="Calibri"/>
          <w:lang w:eastAsia="hr-HR"/>
        </w:rPr>
        <w:t xml:space="preserve">3. Svima putem e-oglasna ploča suda </w:t>
      </w: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rPr>
          <w:rFonts w:cs="Times New Roman" w:eastAsia="Calibri"/>
          <w:lang w:eastAsia="hr-HR"/>
        </w:rPr>
      </w:pP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ind w:firstLine="360"/>
        <w:jc w:val="both"/>
        <w:rPr>
          <w:rFonts w:cs="Times New Roman" w:eastAsia="Calibri"/>
          <w:lang w:eastAsia="hr-HR"/>
        </w:rPr>
      </w:pPr>
    </w:p>
    <w:p w:rsidRDefault="00A46C85" w:rsidP="00A46C85" w:rsidR="00A46C85" w:rsidRPr="00A46C85">
      <w:pPr>
        <w:spacing w:after="0"/>
        <w:rPr>
          <w:rFonts w:cs="Times New Roman" w:eastAsia="Calibri"/>
          <w:lang w:eastAsia="hr-HR"/>
        </w:rPr>
      </w:pPr>
    </w:p>
    <w:p w:rsidRDefault="00A46C85" w:rsidP="00A46C85" w:rsidR="00A46C85" w:rsidRPr="00A46C85">
      <w:pPr>
        <w:spacing w:after="0"/>
        <w:rPr>
          <w:rFonts w:cs="Times New Roman" w:eastAsia="Calibri"/>
          <w:lang w:eastAsia="hr-HR"/>
        </w:rPr>
      </w:pPr>
    </w:p>
    <w:p w:rsidRDefault="00A46C85" w:rsidP="00A46C85" w:rsidR="00A46C85" w:rsidRPr="00A46C85">
      <w:pPr>
        <w:spacing w:after="0"/>
        <w:rPr>
          <w:rFonts w:cs="Times New Roman" w:eastAsia="Calibri"/>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C85"/>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9235450">
      <w:bodyDiv w:val="true"/>
      <w:marLeft w:val="0"/>
      <w:marRight w:val="0"/>
      <w:marTop w:val="0"/>
      <w:marBottom w:val="0"/>
      <w:divBdr>
        <w:top w:space="0" w:sz="0" w:color="auto" w:val="none"/>
        <w:left w:space="0" w:sz="0" w:color="auto" w:val="none"/>
        <w:bottom w:space="0" w:sz="0" w:color="auto" w:val="none"/>
        <w:right w:space="0" w:sz="0" w:color="auto" w:val="none"/>
      </w:divBdr>
    </w:div>
    <w:div w:id="20377330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St-891/2016-10</izvorni_sadrzaj>
    <derivirana_varijabla naziv="DomainObject.Oznaka_1">St-891/2016-10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St-891/2016</izvorni_sadrzaj>
    <derivirana_varijabla naziv="DomainObject.Predmet.OznakaBroj_1">St-891/2016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GEORGIIS d.o.o., vinarstvo, ugostiteljstvo i turizam</izvorni_sadrzaj>
    <derivirana_varijabla naziv="DomainObject.Predmet.ProtustrankaFormated_1">  DE GEORGIIS d.o.o., vinarstvo, ugostiteljstvo i turizam</derivirana_varijabla>
  </DomainObject.Predmet.ProtustrankaFormated>
  <DomainObject.Predmet.ProtustrankaFormatedOIB>
    <izvorni_sadrzaj>  DE GEORGIIS d.o.o., vinarstvo, ugostiteljstvo i turizam, OIB 94254533029</izvorni_sadrzaj>
    <derivirana_varijabla naziv="DomainObject.Predmet.ProtustrankaFormatedOIB_1">  DE GEORGIIS d.o.o., vinarstvo, ugostiteljstvo i turizam, OIB 94254533029</derivirana_varijabla>
  </DomainObject.Predmet.ProtustrankaFormatedOIB>
  <DomainObject.Predmet.ProtustrankaFormatedWithAdress>
    <izvorni_sadrzaj> DE GEORGIIS d.o.o., vinarstvo, ugostiteljstvo i turizam, Ulica Bože Peričića 14, 23000 Zadar</izvorni_sadrzaj>
    <derivirana_varijabla naziv="DomainObject.Predmet.ProtustrankaFormatedWithAdress_1"> DE GEORGIIS d.o.o., vinarstvo, ugostiteljstvo i turizam, Ulica Bože Peričića 14, 23000 Zadar</derivirana_varijabla>
  </DomainObject.Predmet.ProtustrankaFormatedWithAdress>
  <DomainObject.Predmet.ProtustrankaFormatedWithAdressOIB>
    <izvorni_sadrzaj> DE GEORGIIS d.o.o., vinarstvo, ugostiteljstvo i turizam, OIB 94254533029, Ulica Bože Peričića 14, 23000 Zadar</izvorni_sadrzaj>
    <derivirana_varijabla naziv="DomainObject.Predmet.ProtustrankaFormatedWithAdressOIB_1"> DE GEORGIIS d.o.o., vinarstvo, ugostiteljstvo i turizam, OIB 94254533029, Ulica Bože Peričića 14, 23000 Zadar</derivirana_varijabla>
  </DomainObject.Predmet.ProtustrankaFormatedWithAdressOIB>
  <DomainObject.Predmet.ProtustrankaWithAdress>
    <izvorni_sadrzaj>DE GEORGIIS d.o.o., vinarstvo, ugostiteljstvo i turizam Ulica Bože Peričića 14, 23000 Zadar</izvorni_sadrzaj>
    <derivirana_varijabla naziv="DomainObject.Predmet.ProtustrankaWithAdress_1">DE GEORGIIS d.o.o., vinarstvo, ugostiteljstvo i turizam Ulica Bože Peričića 14, 23000 Zadar</derivirana_varijabla>
  </DomainObject.Predmet.ProtustrankaWithAdress>
  <DomainObject.Predmet.ProtustrankaWithAdressOIB>
    <izvorni_sadrzaj>DE GEORGIIS d.o.o., vinarstvo, ugostiteljstvo i turizam, OIB 94254533029, Ulica Bože Peričića 14, 23000 Zadar</izvorni_sadrzaj>
    <derivirana_varijabla naziv="DomainObject.Predmet.ProtustrankaWithAdressOIB_1">DE GEORGIIS d.o.o., vinarstvo, ugostiteljstvo i turizam, OIB 94254533029, Ulica Bože Peričića 14, 23000 Zadar</derivirana_varijabla>
  </DomainObject.Predmet.ProtustrankaWithAdressOIB>
  <DomainObject.Predmet.ProtustrankaNazivFormated>
    <izvorni_sadrzaj>DE GEORGIIS d.o.o., vinarstvo, ugostiteljstvo i turizam</izvorni_sadrzaj>
    <derivirana_varijabla naziv="DomainObject.Predmet.ProtustrankaNazivFormated_1">DE GEORGIIS d.o.o., vinarstvo, ugostiteljstvo i turizam</derivirana_varijabla>
  </DomainObject.Predmet.ProtustrankaNazivFormated>
  <DomainObject.Predmet.ProtustrankaNazivFormatedOIB>
    <izvorni_sadrzaj>DE GEORGIIS d.o.o., vinarstvo, ugostiteljstvo i turizam, OIB 94254533029</izvorni_sadrzaj>
    <derivirana_varijabla naziv="DomainObject.Predmet.ProtustrankaNazivFormatedOIB_1">DE GEORGIIS d.o.o., vinarstvo, ugostiteljstvo i turizam, OIB 94254533029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Damir Jurjević</izvorni_sadrzaj>
    <derivirana_varijabla naziv="DomainObject.Predmet.StrankaFormated_1">  Financijska agencija; Damir Jurjević</derivirana_varijabla>
  </DomainObject.Predmet.StrankaFormated>
  <DomainObject.Predmet.StrankaFormatedOIB>
    <izvorni_sadrzaj>  Financijska agencija, OIB 85821130368; Damir Jurjević</izvorni_sadrzaj>
    <derivirana_varijabla naziv="DomainObject.Predmet.StrankaFormatedOIB_1">  Financijska agencija, OIB 85821130368; Damir Jurjević</derivirana_varijabla>
  </DomainObject.Predmet.StrankaFormatedOIB>
  <DomainObject.Predmet.StrankaFormatedWithAdress>
    <izvorni_sadrzaj> Financijska agencija, Ivana Danila 4, 23000 Zadar; Damir Jurjević</izvorni_sadrzaj>
    <derivirana_varijabla naziv="DomainObject.Predmet.StrankaFormatedWithAdress_1"> Financijska agencija, Ivana Danila 4, 23000 Zadar; Damir Jurjević</derivirana_varijabla>
  </DomainObject.Predmet.StrankaFormatedWithAdress>
  <DomainObject.Predmet.StrankaFormatedWithAdressOIB>
    <izvorni_sadrzaj> Financijska agencija, OIB 85821130368, Ivana Danila 4, 23000 Zadar; Damir Jurjević</izvorni_sadrzaj>
    <derivirana_varijabla naziv="DomainObject.Predmet.StrankaFormatedWithAdressOIB_1"> Financijska agencija, OIB 85821130368, Ivana Danila 4, 23000 Zadar; Damir Jurjević</derivirana_varijabla>
  </DomainObject.Predmet.StrankaFormatedWithAdressOIB>
  <DomainObject.Predmet.StrankaWithAdress>
    <izvorni_sadrzaj>Financijska agencija Ivana Danila 4,23000 Zadar,Damir Jurjević </izvorni_sadrzaj>
    <derivirana_varijabla naziv="DomainObject.Predmet.StrankaWithAdress_1">Financijska agencija Ivana Danila 4,23000 Zadar,Damir Jurjević </derivirana_varijabla>
  </DomainObject.Predmet.StrankaWithAdress>
  <DomainObject.Predmet.StrankaWithAdressOIB>
    <izvorni_sadrzaj>Financijska agencija, OIB 85821130368, Ivana Danila 4,23000 Zadar,Damir Jurjević</izvorni_sadrzaj>
    <derivirana_varijabla naziv="DomainObject.Predmet.StrankaWithAdressOIB_1">Financijska agencija, OIB 85821130368, Ivana Danila 4,23000 Zadar,Damir Jurjević</derivirana_varijabla>
  </DomainObject.Predmet.StrankaWithAdressOIB>
  <DomainObject.Predmet.StrankaNazivFormated>
    <izvorni_sadrzaj>Financijska agencija,Damir Jurjević</izvorni_sadrzaj>
    <derivirana_varijabla naziv="DomainObject.Predmet.StrankaNazivFormated_1">Financijska agencija,Damir Jurjević</derivirana_varijabla>
  </DomainObject.Predmet.StrankaNazivFormated>
  <DomainObject.Predmet.StrankaNazivFormatedOIB>
    <izvorni_sadrzaj>Financijska agencija, OIB 85821130368,Damir Jurjević</izvorni_sadrzaj>
    <derivirana_varijabla naziv="DomainObject.Predmet.StrankaNazivFormatedOIB_1">Financijska agencija, OIB 85821130368,Damir Jurjević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609388.80</izvorni_sadrzaj>
    <derivirana_varijabla naziv="DomainObject.Predmet.TrenutnaVrijednost_1">609388.80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Damir Jurjević</item>
    </izvorni_sadrzaj>
    <derivirana_varijabla naziv="DomainObject.Predmet.StrankaListFormated_1">
      <item>Financijska agencija</item>
      <item>Damir Jurjević</item>
    </derivirana_varijabla>
  </DomainObject.Predmet.StrankaListFormated>
  <DomainObject.Predmet.StrankaListFormatedOIB>
    <izvorni_sadrzaj>
      <item>Financijska agencija, OIB 85821130368</item>
      <item>Damir Jurjević</item>
    </izvorni_sadrzaj>
    <derivirana_varijabla naziv="DomainObject.Predmet.StrankaListFormatedOIB_1">
      <item>Financijska agencija, OIB 85821130368</item>
      <item>Damir Jurjević</item>
    </derivirana_varijabla>
  </DomainObject.Predmet.StrankaListFormatedOIB>
  <DomainObject.Predmet.StrankaListFormatedWithAdress>
    <izvorni_sadrzaj>
      <item>Financijska agencija, Ivana Danila 4, 23000 Zadar</item>
      <item>Damir Jurjević</item>
    </izvorni_sadrzaj>
    <derivirana_varijabla naziv="DomainObject.Predmet.StrankaListFormatedWithAdress_1">
      <item>Financijska agencija, Ivana Danila 4, 23000 Zadar</item>
      <item>Damir Jurjević</item>
    </derivirana_varijabla>
  </DomainObject.Predmet.StrankaListFormatedWithAdress>
  <DomainObject.Predmet.StrankaListFormatedWithAdressOIB>
    <izvorni_sadrzaj>
      <item>Financijska agencija, OIB 85821130368, Ivana Danila 4, 23000 Zadar</item>
      <item>Damir Jurjević</item>
    </izvorni_sadrzaj>
    <derivirana_varijabla naziv="DomainObject.Predmet.StrankaListFormatedWithAdressOIB_1">
      <item>Financijska agencija, OIB 85821130368, Ivana Danila 4, 23000 Zadar</item>
      <item>Damir Jurjević</item>
    </derivirana_varijabla>
  </DomainObject.Predmet.StrankaListFormatedWithAdressOIB>
  <DomainObject.Predmet.StrankaListNazivFormated>
    <izvorni_sadrzaj>
      <item>Financijska agencija</item>
      <item>Damir Jurjević</item>
    </izvorni_sadrzaj>
    <derivirana_varijabla naziv="DomainObject.Predmet.StrankaListNazivFormated_1">
      <item>Financijska agencija</item>
      <item>Damir Jurjević</item>
    </derivirana_varijabla>
  </DomainObject.Predmet.StrankaListNazivFormated>
  <DomainObject.Predmet.StrankaListNazivFormatedOIB>
    <izvorni_sadrzaj>
      <item>Financijska agencija, OIB 85821130368</item>
      <item>Damir Jurjević</item>
    </izvorni_sadrzaj>
    <derivirana_varijabla naziv="DomainObject.Predmet.StrankaListNazivFormatedOIB_1">
      <item>Financijska agencija, OIB 85821130368</item>
      <item>Damir Jurjević</item>
    </derivirana_varijabla>
  </DomainObject.Predmet.StrankaListNazivFormatedOIB>
  <DomainObject.Predmet.ProtuStrankaListFormated>
    <izvorni_sadrzaj>
      <item>DE GEORGIIS d.o.o., vinarstvo, ugostiteljstvo i turizam</item>
    </izvorni_sadrzaj>
    <derivirana_varijabla naziv="DomainObject.Predmet.ProtuStrankaListFormated_1">
      <item>DE GEORGIIS d.o.o., vinarstvo, ugostiteljstvo i turizam</item>
    </derivirana_varijabla>
  </DomainObject.Predmet.ProtuStrankaListFormated>
  <DomainObject.Predmet.ProtuStrankaListFormatedOIB>
    <izvorni_sadrzaj>
      <item>DE GEORGIIS d.o.o., vinarstvo, ugostiteljstvo i turizam, OIB 94254533029</item>
    </izvorni_sadrzaj>
    <derivirana_varijabla naziv="DomainObject.Predmet.ProtuStrankaListFormatedOIB_1">
      <item>DE GEORGIIS d.o.o., vinarstvo, ugostiteljstvo i turizam, OIB 94254533029</item>
    </derivirana_varijabla>
  </DomainObject.Predmet.ProtuStrankaListFormatedOIB>
  <DomainObject.Predmet.ProtuStrankaListFormatedWithAdress>
    <izvorni_sadrzaj>
      <item>DE GEORGIIS d.o.o., vinarstvo, ugostiteljstvo i turizam, Ulica Bože Peričića 14, 23000 Zadar</item>
    </izvorni_sadrzaj>
    <derivirana_varijabla naziv="DomainObject.Predmet.ProtuStrankaListFormatedWithAdress_1">
      <item>DE GEORGIIS d.o.o., vinarstvo, ugostiteljstvo i turizam, Ulica Bože Peričića 14, 23000 Zadar</item>
    </derivirana_varijabla>
  </DomainObject.Predmet.ProtuStrankaListFormatedWithAdress>
  <DomainObject.Predmet.ProtuStrankaListFormatedWithAdressOIB>
    <izvorni_sadrzaj>
      <item>DE GEORGIIS d.o.o., vinarstvo, ugostiteljstvo i turizam, OIB 94254533029, Ulica Bože Peričića 14, 23000 Zadar</item>
    </izvorni_sadrzaj>
    <derivirana_varijabla naziv="DomainObject.Predmet.ProtuStrankaListFormatedWithAdressOIB_1">
      <item>DE GEORGIIS d.o.o., vinarstvo, ugostiteljstvo i turizam, OIB 94254533029, Ulica Bože Peričića 14, 23000 Zadar</item>
    </derivirana_varijabla>
  </DomainObject.Predmet.ProtuStrankaListFormatedWithAdressOIB>
  <DomainObject.Predmet.ProtuStrankaListNazivFormated>
    <izvorni_sadrzaj>
      <item>DE GEORGIIS d.o.o., vinarstvo, ugostiteljstvo i turizam</item>
    </izvorni_sadrzaj>
    <derivirana_varijabla naziv="DomainObject.Predmet.ProtuStrankaListNazivFormated_1">
      <item>DE GEORGIIS d.o.o., vinarstvo, ugostiteljstvo i turizam</item>
    </derivirana_varijabla>
  </DomainObject.Predmet.ProtuStrankaListNazivFormated>
  <DomainObject.Predmet.ProtuStrankaListNazivFormatedOIB>
    <izvorni_sadrzaj>
      <item>DE GEORGIIS d.o.o., vinarstvo, ugostiteljstvo i turizam, OIB 94254533029</item>
    </izvorni_sadrzaj>
    <derivirana_varijabla naziv="DomainObject.Predmet.ProtuStrankaListNazivFormatedOIB_1">
      <item>DE GEORGIIS d.o.o., vinarstvo, ugostiteljstvo i turizam, OIB 94254533029</item>
    </derivirana_varijabla>
  </DomainObject.Predmet.ProtuStrankaListNazivFormatedOIB>
  <DomainObject.Predmet.OstaliListFormated>
    <izvorni_sadrzaj>
      <item>Franko Kotlar</item>
    </izvorni_sadrzaj>
    <derivirana_varijabla naziv="DomainObject.Predmet.OstaliListFormated_1">
      <item>Franko Kotlar</item>
    </derivirana_varijabla>
  </DomainObject.Predmet.OstaliListFormated>
  <DomainObject.Predmet.OstaliListFormatedOIB>
    <izvorni_sadrzaj>
      <item>Franko Kotlar</item>
    </izvorni_sadrzaj>
    <derivirana_varijabla naziv="DomainObject.Predmet.OstaliListFormatedOIB_1">
      <item>Franko Kotlar</item>
    </derivirana_varijabla>
  </DomainObject.Predmet.OstaliListFormatedOIB>
  <DomainObject.Predmet.OstaliListFormatedWithAdress>
    <izvorni_sadrzaj>
      <item>Franko Kotlar, Zrinsko-Frankopanska 38, 23000 Zadar</item>
    </izvorni_sadrzaj>
    <derivirana_varijabla naziv="DomainObject.Predmet.OstaliListFormatedWithAdress_1">
      <item>Franko Kotlar, Zrinsko-Frankopanska 38, 23000 Zadar</item>
    </derivirana_varijabla>
  </DomainObject.Predmet.OstaliListFormatedWithAdress>
  <DomainObject.Predmet.OstaliListFormatedWithAdressOIB>
    <izvorni_sadrzaj>
      <item>Franko Kotlar, Zrinsko-Frankopanska 38, 23000 Zadar</item>
    </izvorni_sadrzaj>
    <derivirana_varijabla naziv="DomainObject.Predmet.OstaliListFormatedWithAdressOIB_1">
      <item>Franko Kotlar, Zrinsko-Frankopanska 38, 23000 Zadar</item>
    </derivirana_varijabla>
  </DomainObject.Predmet.OstaliListFormatedWithAdressOIB>
  <DomainObject.Predmet.OstaliListNazivFormated>
    <izvorni_sadrzaj>
      <item>Franko Kotlar</item>
    </izvorni_sadrzaj>
    <derivirana_varijabla naziv="DomainObject.Predmet.OstaliListNazivFormated_1">
      <item>Franko Kotlar</item>
    </derivirana_varijabla>
  </DomainObject.Predmet.OstaliListNazivFormated>
  <DomainObject.Predmet.OstaliListNazivFormatedOIB>
    <izvorni_sadrzaj>
      <item>Franko Kotlar</item>
    </izvorni_sadrzaj>
    <derivirana_varijabla naziv="DomainObject.Predmet.OstaliListNazivFormatedOIB_1">
      <item>Franko Kotlar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St-891/2016-10</izvorni_sadrzaj>
    <derivirana_varijabla naziv="DomainObject.PoslovniBrojDokumenta_1">St-891/2016-10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DE GEORGIIS d.o.o., vinarstvo, ugostiteljstvo i turizam</izvorni_sadrzaj>
    <derivirana_varijabla naziv="DomainObject.Predmet.ProtustrankaIDrugi_1">DE GEORGIIS d.o.o., vinarstvo, ugostiteljstvo i turizam</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DE GEORGIIS d.o.o., vinarstvo, ugostiteljstvo i turizam, OIB 94254533029, Ulica Bože Peričića 14, 23000 Zadar</izvorni_sadrzaj>
    <derivirana_varijabla naziv="DomainObject.Predmet.ProtustrankaIDrugiAdressOIB_1">DE GEORGIIS d.o.o., vinarstvo, ugostiteljstvo i turizam, OIB 94254533029, Ulica Bože Peričića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 GEORGIIS d.o.o., vinarstvo, ugostiteljstvo i turizam</item>
      <item>Damir Jurjević</item>
      <item>Franko Kotlar</item>
    </izvorni_sadrzaj>
    <derivirana_varijabla naziv="DomainObject.Predmet.SudioniciListNaziv_1">
      <item>Financijska agencija</item>
      <item>DE GEORGIIS d.o.o., vinarstvo, ugostiteljstvo i turizam</item>
      <item>Damir Jurjević</item>
      <item>Franko Kotlar</item>
    </derivirana_varijabla>
  </DomainObject.Predmet.SudioniciListNaziv>
  <DomainObject.Predmet.SudioniciListAdressOIB>
    <izvorni_sadrzaj>
      <item>Financijska agencija, OIB 85821130368, Ivana Danila 4,23000 Zadar</item>
      <item>DE GEORGIIS d.o.o., vinarstvo, ugostiteljstvo i turizam, OIB 94254533029, Ulica Bože Peričića 14,23000 Zadar</item>
      <item>Damir Jurjević</item>
      <item>Franko Kotlar, Zrinsko-Frankopanska 38,23000 Zadar</item>
    </izvorni_sadrzaj>
    <derivirana_varijabla naziv="DomainObject.Predmet.SudioniciListAdressOIB_1">
      <item>Financijska agencija, OIB 85821130368, Ivana Danila 4,23000 Zadar</item>
      <item>DE GEORGIIS d.o.o., vinarstvo, ugostiteljstvo i turizam, OIB 94254533029, Ulica Bože Peričića 14,23000 Zadar</item>
      <item>Damir Jurjević</item>
      <item>Franko Kotlar,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3DE8E-81BE-434A-9E7D-933F9231A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5015</properties:Characters>
  <properties:Lines>121</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2016-12-21T11:49:00Z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St-891/2016-10 / Odluka - Rješenje - odobreno pristupanje dugu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