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78c5" w14:paraId="ccd78c5" w:rsidRDefault="002921A2" w:rsidP="002921A2" w:rsidR="002921A2" w:rsidRPr="002921A2">
      <w:pPr>
        <w:tabs>
          <w:tab w:pos="1134" w:val="left"/>
        </w:tabs>
        <w:ind w:left="1134"/>
        <w15:collapsed w:val="false"/>
        <w:rPr>
          <w:rFonts w:eastAsia="Times New Roman" w:hAnsi="Times New Roman" w:ascii="Times New Roman"/>
          <w:sz w:val="20"/>
          <w:szCs w:val="2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noProof/>
          <w:color w:val="0000FF"/>
          <w:lang w:eastAsia="hr-HR"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1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21A2" w:rsidP="002921A2" w:rsidR="002921A2" w:rsidRPr="002921A2">
      <w:pPr>
        <w:rPr>
          <w:rFonts w:eastAsia="Times New Roman" w:hAnsi="Times New Roman" w:ascii="Times New Roman"/>
          <w:b/>
          <w:sz w:val="20"/>
          <w:szCs w:val="20"/>
          <w:lang w:eastAsia="hr-HR"/>
        </w:rPr>
      </w:pPr>
      <w:r w:rsidRPr="002921A2">
        <w:rPr>
          <w:rFonts w:eastAsia="Times New Roman"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2921A2" w:rsidP="002921A2" w:rsidR="002921A2" w:rsidRPr="002921A2">
      <w:pPr>
        <w:rPr>
          <w:rFonts w:eastAsia="Times New Roman" w:hAnsi="Times New Roman" w:ascii="Times New Roman"/>
          <w:b/>
          <w:sz w:val="20"/>
          <w:szCs w:val="20"/>
          <w:lang w:eastAsia="hr-HR"/>
        </w:rPr>
      </w:pPr>
      <w:r w:rsidRPr="002921A2">
        <w:rPr>
          <w:rFonts w:eastAsia="Times New Roman"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2921A2" w:rsidP="002921A2" w:rsidR="002921A2" w:rsidRPr="002921A2">
      <w:pPr>
        <w:rPr>
          <w:rFonts w:eastAsia="Times New Roman" w:hAnsi="Times New Roman" w:ascii="Times New Roman"/>
          <w:b/>
          <w:sz w:val="20"/>
          <w:szCs w:val="20"/>
          <w:lang w:eastAsia="hr-HR"/>
        </w:rPr>
      </w:pPr>
      <w:r w:rsidRPr="002921A2">
        <w:rPr>
          <w:rFonts w:eastAsia="Times New Roman"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2921A2" w:rsidP="002921A2" w:rsidR="002921A2" w:rsidRPr="002921A2">
      <w:pPr>
        <w:rPr>
          <w:rFonts w:eastAsia="Times New Roman" w:hAnsi="Times New Roman" w:ascii="Times New Roman"/>
          <w:b/>
          <w:sz w:val="20"/>
          <w:szCs w:val="20"/>
          <w:lang w:eastAsia="hr-HR"/>
        </w:rPr>
      </w:pPr>
      <w:r w:rsidRPr="002921A2">
        <w:rPr>
          <w:rFonts w:eastAsia="Times New Roman"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2921A2" w:rsidP="002921A2" w:rsidR="002921A2" w:rsidRPr="002921A2">
      <w:pPr>
        <w:jc w:val="right"/>
        <w:rPr>
          <w:rFonts w:eastAsia="Times New Roman" w:hAnsi="Times New Roman" w:ascii="Times New Roman"/>
          <w:b/>
          <w:lang w:eastAsia="hr-HR"/>
        </w:rPr>
      </w:pPr>
      <w:r w:rsidRPr="002921A2">
        <w:rPr>
          <w:rFonts w:eastAsia="Times New Roman" w:hAnsi="Times New Roman" w:ascii="Times New Roman"/>
          <w:b/>
          <w:lang w:eastAsia="hr-HR"/>
        </w:rPr>
        <w:t>Posl. br.6-St. 785/2016-19</w:t>
      </w:r>
    </w:p>
    <w:p w:rsidRDefault="002921A2" w:rsidP="002921A2" w:rsidR="002921A2" w:rsidRPr="002921A2">
      <w:pPr>
        <w:jc w:val="center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2921A2" w:rsidP="002921A2" w:rsidR="002921A2" w:rsidRPr="002921A2">
      <w:pPr>
        <w:jc w:val="center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2921A2" w:rsidP="002921A2" w:rsidR="002921A2" w:rsidRPr="002921A2">
      <w:pPr>
        <w:jc w:val="center"/>
        <w:rPr>
          <w:rFonts w:eastAsia="Times New Roman" w:hAnsi="Times New Roman" w:ascii="Times New Roman"/>
          <w:b/>
          <w:lang w:eastAsia="hr-HR"/>
        </w:rPr>
      </w:pPr>
      <w:r w:rsidRPr="002921A2">
        <w:rPr>
          <w:rFonts w:eastAsia="Times New Roman" w:hAnsi="Times New Roman" w:ascii="Times New Roman"/>
          <w:b/>
          <w:lang w:eastAsia="hr-HR"/>
        </w:rPr>
        <w:t>R E P U B L I K A   H R V A T S K A</w:t>
      </w:r>
    </w:p>
    <w:p w:rsidRDefault="002921A2" w:rsidP="002921A2" w:rsidR="002921A2" w:rsidRPr="002921A2">
      <w:pPr>
        <w:jc w:val="center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2921A2" w:rsidP="002921A2" w:rsidR="002921A2" w:rsidRPr="002921A2">
      <w:pPr>
        <w:jc w:val="center"/>
        <w:rPr>
          <w:rFonts w:eastAsia="Times New Roman" w:hAnsi="Times New Roman" w:ascii="Times New Roman"/>
          <w:b/>
          <w:lang w:eastAsia="hr-HR"/>
        </w:rPr>
      </w:pPr>
      <w:r w:rsidRPr="002921A2">
        <w:rPr>
          <w:rFonts w:eastAsia="Times New Roman" w:hAnsi="Times New Roman" w:ascii="Times New Roman"/>
          <w:b/>
          <w:lang w:eastAsia="hr-HR"/>
        </w:rPr>
        <w:t xml:space="preserve">R J E Š E N J E </w:t>
      </w:r>
    </w:p>
    <w:p w:rsidRDefault="002921A2" w:rsidP="002921A2" w:rsidR="002921A2" w:rsidRPr="002921A2">
      <w:pPr>
        <w:jc w:val="center"/>
        <w:rPr>
          <w:rFonts w:eastAsia="Times New Roman" w:hAnsi="Times New Roman" w:ascii="Times New Roman"/>
          <w:b/>
          <w:lang w:eastAsia="hr-HR"/>
        </w:rPr>
      </w:pPr>
    </w:p>
    <w:p w:rsidRDefault="002921A2" w:rsidP="002921A2" w:rsidR="002921A2" w:rsidRPr="002921A2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2921A2">
        <w:rPr>
          <w:rFonts w:eastAsia="Times New Roman" w:hAnsi="Times New Roman" w:ascii="Times New Roman"/>
          <w:lang w:eastAsia="hr-HR"/>
        </w:rPr>
        <w:t xml:space="preserve">Trgovački sud u Splitu, Stalna služba u Dubrovniku, po stečajnom sucu tog suda Srđanu Gavraniću, kao sucu pojedincu, u stečajnom postupku nad dužnikom </w:t>
      </w:r>
      <w:r w:rsidRPr="002921A2">
        <w:rPr>
          <w:rFonts w:eastAsia="Times New Roman" w:hAnsi="Times New Roman" w:ascii="Times New Roman"/>
          <w:lang w:eastAsia="hr-HR" w:val="en-AU"/>
        </w:rPr>
        <w:t>SILESIANA j.d.o.o za građenje, Seget Gornji, Čarije 10, MBS: 060327883, OIB: 70653829136</w:t>
      </w:r>
      <w:r w:rsidRPr="002921A2">
        <w:rPr>
          <w:rFonts w:eastAsia="Times New Roman" w:hAnsi="Times New Roman" w:ascii="Times New Roman"/>
          <w:lang w:eastAsia="hr-HR"/>
        </w:rPr>
        <w:t>, izvan ročište, dana 15. prosinca 2016. godine</w:t>
      </w:r>
    </w:p>
    <w:p w:rsidRDefault="002921A2" w:rsidP="002921A2" w:rsidR="002921A2" w:rsidRPr="002921A2">
      <w:pPr>
        <w:ind w:firstLine="708"/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2921A2" w:rsidP="002921A2" w:rsidR="002921A2" w:rsidRPr="002921A2">
      <w:pPr>
        <w:jc w:val="center"/>
        <w:rPr>
          <w:rFonts w:eastAsia="Times New Roman" w:hAnsi="Times New Roman" w:ascii="Times New Roman"/>
          <w:b/>
          <w:lang w:eastAsia="hr-HR"/>
        </w:rPr>
      </w:pPr>
      <w:r w:rsidRPr="002921A2">
        <w:rPr>
          <w:rFonts w:eastAsia="Times New Roman" w:hAnsi="Times New Roman" w:ascii="Times New Roman"/>
          <w:b/>
          <w:lang w:eastAsia="hr-HR"/>
        </w:rPr>
        <w:t>r i j e š i o   j e</w:t>
      </w: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lang w:eastAsia="hr-HR"/>
        </w:rPr>
      </w:pPr>
      <w:r w:rsidRPr="002921A2">
        <w:rPr>
          <w:rFonts w:eastAsia="Times New Roman" w:hAnsi="Times New Roman" w:ascii="Times New Roman"/>
          <w:lang w:eastAsia="hr-HR"/>
        </w:rPr>
        <w:tab/>
        <w:t>Ispravlja se rješenje ovog suda posl.br. St. 785/2016-8</w:t>
      </w:r>
      <w:r w:rsidRPr="002921A2">
        <w:rPr>
          <w:rFonts w:eastAsia="Times New Roman" w:hAnsi="Times New Roman" w:ascii="Times New Roman"/>
          <w:b/>
          <w:lang w:eastAsia="hr-HR"/>
        </w:rPr>
        <w:t xml:space="preserve"> </w:t>
      </w:r>
      <w:r w:rsidRPr="002921A2">
        <w:rPr>
          <w:rFonts w:eastAsia="Times New Roman" w:hAnsi="Times New Roman" w:ascii="Times New Roman"/>
          <w:lang w:eastAsia="hr-HR"/>
        </w:rPr>
        <w:t>od 5. listopada 2016. godine u točki I. izreke tako da umjesto pogrešno upisanog imena "Wnada" treba ispravno stajati "</w:t>
      </w:r>
      <w:r w:rsidRPr="002921A2">
        <w:rPr>
          <w:rFonts w:eastAsia="Times New Roman" w:hAnsi="Times New Roman" w:ascii="Times New Roman"/>
          <w:b/>
          <w:lang w:eastAsia="hr-HR"/>
        </w:rPr>
        <w:t>Wanda</w:t>
      </w:r>
      <w:r w:rsidRPr="002921A2">
        <w:rPr>
          <w:rFonts w:eastAsia="Times New Roman" w:hAnsi="Times New Roman" w:ascii="Times New Roman"/>
          <w:lang w:eastAsia="hr-HR"/>
        </w:rPr>
        <w:t>".</w:t>
      </w: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2921A2" w:rsidP="002921A2" w:rsidR="002921A2" w:rsidRPr="002921A2">
      <w:pPr>
        <w:jc w:val="center"/>
        <w:rPr>
          <w:rFonts w:eastAsia="Times New Roman" w:hAnsi="Times New Roman" w:ascii="Times New Roman"/>
          <w:b/>
          <w:lang w:eastAsia="hr-HR"/>
        </w:rPr>
      </w:pPr>
      <w:r w:rsidRPr="002921A2">
        <w:rPr>
          <w:rFonts w:eastAsia="Times New Roman" w:hAnsi="Times New Roman" w:ascii="Times New Roman"/>
          <w:b/>
          <w:lang w:eastAsia="hr-HR"/>
        </w:rPr>
        <w:t>Obrazloženje</w:t>
      </w: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lang w:eastAsia="hr-HR"/>
        </w:rPr>
      </w:pPr>
    </w:p>
    <w:p w:rsidRDefault="002921A2" w:rsidP="002921A2" w:rsidR="002921A2" w:rsidRPr="002921A2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2921A2">
        <w:rPr>
          <w:rFonts w:eastAsia="Times New Roman" w:hAnsi="Times New Roman" w:ascii="Times New Roman"/>
          <w:lang w:eastAsia="hr-HR"/>
        </w:rPr>
        <w:t xml:space="preserve">U rješenju ovog suda posl.br. St. 785/2016-8 od 5. listopada 2016. godine potkrala se greška u pisanju, te je u točki I. izreke rješenja pogrešno napisano ime obveznika kao "Wnada", umjesto ispravno "Wanda". </w:t>
      </w: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lang w:eastAsia="hr-HR"/>
        </w:rPr>
      </w:pPr>
      <w:r w:rsidRPr="002921A2">
        <w:rPr>
          <w:rFonts w:eastAsia="Times New Roman" w:hAnsi="Times New Roman" w:ascii="Times New Roman"/>
          <w:lang w:eastAsia="hr-HR"/>
        </w:rPr>
        <w:tab/>
        <w:t>Omašku je sud uočio po službenoj dužnosti.</w:t>
      </w: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lang w:eastAsia="hr-HR"/>
        </w:rPr>
      </w:pPr>
      <w:r w:rsidRPr="002921A2">
        <w:rPr>
          <w:rFonts w:eastAsia="Times New Roman" w:hAnsi="Times New Roman" w:ascii="Times New Roman"/>
          <w:lang w:eastAsia="hr-HR"/>
        </w:rPr>
        <w:tab/>
        <w:t>Da se doista radi o pogreški u pisanju brojki razvidno iz izvod iz sudskog registra (list spisa 3-4).</w:t>
      </w: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lang w:eastAsia="hr-HR"/>
        </w:rPr>
      </w:pPr>
      <w:r w:rsidRPr="002921A2">
        <w:rPr>
          <w:rFonts w:eastAsia="Times New Roman" w:hAnsi="Times New Roman" w:ascii="Times New Roman"/>
          <w:lang w:eastAsia="hr-HR"/>
        </w:rPr>
        <w:tab/>
        <w:t>Slijedom navedenog, temeljem čl. 342. Zakona o parničnom postupku (NN 53/91, 91/92, 112/99, 88/01, 117/03, 84/08, 123/08, 57/11, 148/11, 25/13, dalje u tekstu: ZPP), koji se u smislu čl. 10. Stečajnog zakona (NN 71/15, dalje u tekstu: SZ) u ovom postupku na odgovarajući način primjenjuje, odlučeno je kao u izreci.</w:t>
      </w:r>
    </w:p>
    <w:p w:rsidRDefault="002921A2" w:rsidP="002921A2" w:rsidR="002921A2" w:rsidRPr="002921A2">
      <w:pPr>
        <w:jc w:val="center"/>
        <w:rPr>
          <w:rFonts w:eastAsia="Times New Roman" w:hAnsi="Times New Roman" w:ascii="Times New Roman"/>
          <w:b/>
          <w:lang w:eastAsia="hr-HR"/>
        </w:rPr>
      </w:pPr>
    </w:p>
    <w:p w:rsidRDefault="002921A2" w:rsidP="002921A2" w:rsidR="002921A2" w:rsidRPr="002921A2">
      <w:pPr>
        <w:jc w:val="center"/>
        <w:rPr>
          <w:rFonts w:eastAsia="Times New Roman" w:hAnsi="Times New Roman" w:ascii="Times New Roman"/>
          <w:b/>
          <w:lang w:eastAsia="hr-HR"/>
        </w:rPr>
      </w:pPr>
      <w:r w:rsidRPr="002921A2">
        <w:rPr>
          <w:rFonts w:eastAsia="Times New Roman" w:hAnsi="Times New Roman" w:ascii="Times New Roman"/>
          <w:b/>
          <w:lang w:eastAsia="hr-HR"/>
        </w:rPr>
        <w:t>U Dubrovniku, 15. prosinca 2016. godine</w:t>
      </w:r>
    </w:p>
    <w:p w:rsidRDefault="002921A2" w:rsidP="002921A2" w:rsidR="002921A2" w:rsidRPr="002921A2">
      <w:pPr>
        <w:jc w:val="center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b/>
          <w:lang w:eastAsia="hr-HR"/>
        </w:rPr>
      </w:pPr>
      <w:r w:rsidRPr="002921A2">
        <w:rPr>
          <w:rFonts w:eastAsia="Times New Roman" w:hAnsi="Times New Roman" w:ascii="Times New Roman"/>
          <w:b/>
          <w:lang w:eastAsia="hr-HR"/>
        </w:rPr>
        <w:tab/>
      </w:r>
      <w:r w:rsidRPr="002921A2">
        <w:rPr>
          <w:rFonts w:eastAsia="Times New Roman" w:hAnsi="Times New Roman" w:ascii="Times New Roman"/>
          <w:b/>
          <w:lang w:eastAsia="hr-HR"/>
        </w:rPr>
        <w:tab/>
      </w:r>
      <w:r w:rsidRPr="002921A2">
        <w:rPr>
          <w:rFonts w:eastAsia="Times New Roman" w:hAnsi="Times New Roman" w:ascii="Times New Roman"/>
          <w:b/>
          <w:lang w:eastAsia="hr-HR"/>
        </w:rPr>
        <w:tab/>
      </w:r>
      <w:r w:rsidRPr="002921A2">
        <w:rPr>
          <w:rFonts w:eastAsia="Times New Roman" w:hAnsi="Times New Roman" w:ascii="Times New Roman"/>
          <w:b/>
          <w:lang w:eastAsia="hr-HR"/>
        </w:rPr>
        <w:tab/>
      </w:r>
      <w:r w:rsidRPr="002921A2">
        <w:rPr>
          <w:rFonts w:eastAsia="Times New Roman" w:hAnsi="Times New Roman" w:ascii="Times New Roman"/>
          <w:b/>
          <w:lang w:eastAsia="hr-HR"/>
        </w:rPr>
        <w:tab/>
      </w:r>
      <w:r w:rsidRPr="002921A2">
        <w:rPr>
          <w:rFonts w:eastAsia="Times New Roman" w:hAnsi="Times New Roman" w:ascii="Times New Roman"/>
          <w:b/>
          <w:lang w:eastAsia="hr-HR"/>
        </w:rPr>
        <w:tab/>
      </w:r>
      <w:r w:rsidRPr="002921A2">
        <w:rPr>
          <w:rFonts w:eastAsia="Times New Roman" w:hAnsi="Times New Roman" w:ascii="Times New Roman"/>
          <w:b/>
          <w:lang w:eastAsia="hr-HR"/>
        </w:rPr>
        <w:tab/>
      </w:r>
      <w:r w:rsidRPr="002921A2">
        <w:rPr>
          <w:rFonts w:eastAsia="Times New Roman" w:hAnsi="Times New Roman" w:ascii="Times New Roman"/>
          <w:b/>
          <w:lang w:eastAsia="hr-HR"/>
        </w:rPr>
        <w:tab/>
      </w:r>
      <w:r w:rsidRPr="002921A2">
        <w:rPr>
          <w:rFonts w:eastAsia="Times New Roman" w:hAnsi="Times New Roman" w:ascii="Times New Roman"/>
          <w:b/>
          <w:lang w:eastAsia="hr-HR"/>
        </w:rPr>
        <w:tab/>
        <w:t>Stečajni sudac:</w:t>
      </w: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b/>
          <w:lang w:eastAsia="hr-HR"/>
        </w:rPr>
      </w:pPr>
      <w:r w:rsidRPr="002921A2">
        <w:rPr>
          <w:rFonts w:eastAsia="Times New Roman" w:hAnsi="Times New Roman" w:ascii="Times New Roman"/>
          <w:b/>
          <w:lang w:eastAsia="hr-HR"/>
        </w:rPr>
        <w:tab/>
      </w:r>
      <w:r w:rsidRPr="002921A2">
        <w:rPr>
          <w:rFonts w:eastAsia="Times New Roman" w:hAnsi="Times New Roman" w:ascii="Times New Roman"/>
          <w:b/>
          <w:lang w:eastAsia="hr-HR"/>
        </w:rPr>
        <w:tab/>
      </w:r>
      <w:r w:rsidRPr="002921A2">
        <w:rPr>
          <w:rFonts w:eastAsia="Times New Roman" w:hAnsi="Times New Roman" w:ascii="Times New Roman"/>
          <w:b/>
          <w:lang w:eastAsia="hr-HR"/>
        </w:rPr>
        <w:tab/>
      </w:r>
      <w:r w:rsidRPr="002921A2">
        <w:rPr>
          <w:rFonts w:eastAsia="Times New Roman" w:hAnsi="Times New Roman" w:ascii="Times New Roman"/>
          <w:b/>
          <w:lang w:eastAsia="hr-HR"/>
        </w:rPr>
        <w:tab/>
      </w:r>
      <w:r w:rsidRPr="002921A2">
        <w:rPr>
          <w:rFonts w:eastAsia="Times New Roman" w:hAnsi="Times New Roman" w:ascii="Times New Roman"/>
          <w:b/>
          <w:lang w:eastAsia="hr-HR"/>
        </w:rPr>
        <w:tab/>
      </w:r>
      <w:r w:rsidRPr="002921A2">
        <w:rPr>
          <w:rFonts w:eastAsia="Times New Roman" w:hAnsi="Times New Roman" w:ascii="Times New Roman"/>
          <w:b/>
          <w:lang w:eastAsia="hr-HR"/>
        </w:rPr>
        <w:tab/>
      </w:r>
      <w:r w:rsidRPr="002921A2">
        <w:rPr>
          <w:rFonts w:eastAsia="Times New Roman" w:hAnsi="Times New Roman" w:ascii="Times New Roman"/>
          <w:b/>
          <w:lang w:eastAsia="hr-HR"/>
        </w:rPr>
        <w:tab/>
      </w:r>
      <w:r w:rsidRPr="002921A2">
        <w:rPr>
          <w:rFonts w:eastAsia="Times New Roman" w:hAnsi="Times New Roman" w:ascii="Times New Roman"/>
          <w:b/>
          <w:lang w:eastAsia="hr-HR"/>
        </w:rPr>
        <w:tab/>
      </w:r>
      <w:r w:rsidRPr="002921A2">
        <w:rPr>
          <w:rFonts w:eastAsia="Times New Roman" w:hAnsi="Times New Roman" w:ascii="Times New Roman"/>
          <w:b/>
          <w:lang w:eastAsia="hr-HR"/>
        </w:rPr>
        <w:tab/>
        <w:t>Srđan Gavranić</w:t>
      </w: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b/>
          <w:lang w:eastAsia="hr-HR"/>
        </w:rPr>
      </w:pPr>
      <w:r w:rsidRPr="002921A2">
        <w:rPr>
          <w:rFonts w:eastAsia="Times New Roman" w:hAnsi="Times New Roman" w:ascii="Times New Roman"/>
          <w:b/>
          <w:lang w:eastAsia="hr-HR"/>
        </w:rPr>
        <w:t>POUKA O PRAVNOM LIJEKU</w:t>
      </w: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lang w:eastAsia="hr-HR"/>
        </w:rPr>
      </w:pPr>
      <w:r w:rsidRPr="002921A2">
        <w:rPr>
          <w:rFonts w:eastAsia="Times New Roman" w:hAnsi="Times New Roman" w:ascii="Times New Roman"/>
          <w:lang w:eastAsia="hr-HR"/>
        </w:rPr>
        <w:t xml:space="preserve">Protiv točke I. ovog rješenja dopušteno je izjaviti žalbu, koja se podnosi Visokom trgovačkom sudu Republike Hrvatske putem ovog suda u roku od 8 dana od primitka rješenja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921A2">
          <w:rPr>
            <w:rFonts w:eastAsia="Times New Roman" w:hAnsi="Times New Roman" w:ascii="Times New Roman"/>
            <w:lang w:eastAsia="hr-HR"/>
          </w:rPr>
          <w:t>11. st</w:t>
        </w:r>
      </w:smartTag>
      <w:r w:rsidRPr="002921A2">
        <w:rPr>
          <w:rFonts w:eastAsia="Times New Roman" w:hAnsi="Times New Roman" w:ascii="Times New Roman"/>
          <w:lang w:eastAsia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921A2">
          <w:rPr>
            <w:rFonts w:eastAsia="Times New Roman" w:hAnsi="Times New Roman" w:ascii="Times New Roman"/>
            <w:lang w:eastAsia="hr-HR"/>
          </w:rPr>
          <w:t>4. OZ</w:t>
        </w:r>
      </w:smartTag>
      <w:r w:rsidRPr="002921A2">
        <w:rPr>
          <w:rFonts w:eastAsia="Times New Roman" w:hAnsi="Times New Roman" w:ascii="Times New Roman"/>
          <w:lang w:eastAsia="hr-HR"/>
        </w:rPr>
        <w:t>).</w:t>
      </w: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2921A2" w:rsidP="002921A2" w:rsidR="002921A2" w:rsidRPr="002921A2">
      <w:pPr>
        <w:jc w:val="both"/>
        <w:rPr>
          <w:rFonts w:eastAsia="Times New Roman" w:hAnsi="Times New Roman" w:ascii="Times New Roman"/>
          <w:b/>
          <w:lang w:eastAsia="hr-HR"/>
        </w:rPr>
      </w:pPr>
      <w:r w:rsidRPr="002921A2">
        <w:rPr>
          <w:rFonts w:eastAsia="Times New Roman" w:hAnsi="Times New Roman" w:ascii="Times New Roman"/>
          <w:b/>
          <w:lang w:eastAsia="hr-HR"/>
        </w:rPr>
        <w:t xml:space="preserve">DN-a </w:t>
      </w:r>
      <w:r w:rsidRPr="002921A2">
        <w:rPr>
          <w:rFonts w:eastAsia="Times New Roman" w:hAnsi="Times New Roman" w:ascii="Times New Roman"/>
          <w:lang w:eastAsia="hr-HR"/>
        </w:rPr>
        <w:t>(15.12.2016.g.)</w:t>
      </w:r>
      <w:r w:rsidRPr="002921A2">
        <w:rPr>
          <w:rFonts w:eastAsia="Times New Roman" w:hAnsi="Times New Roman" w:ascii="Times New Roman"/>
          <w:b/>
          <w:lang w:eastAsia="hr-HR"/>
        </w:rPr>
        <w:t>:</w:t>
      </w:r>
    </w:p>
    <w:p w:rsidRDefault="002921A2" w:rsidP="002921A2" w:rsidR="002921A2" w:rsidRPr="002921A2">
      <w:pPr>
        <w:tabs>
          <w:tab w:pos="142" w:val="left"/>
        </w:tabs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 xml:space="preserve">- </w:t>
      </w:r>
      <w:r w:rsidRPr="002921A2">
        <w:rPr>
          <w:rFonts w:eastAsia="Times New Roman" w:hAnsi="Times New Roman" w:ascii="Times New Roman"/>
          <w:lang w:eastAsia="hr-HR"/>
        </w:rPr>
        <w:t>stečajni upravitelj, putem e oglasne ploče,</w:t>
      </w:r>
    </w:p>
    <w:p w:rsidRDefault="002921A2" w:rsidP="002921A2" w:rsidR="002921A2" w:rsidRPr="002921A2">
      <w:pPr>
        <w:tabs>
          <w:tab w:pos="142" w:val="left"/>
        </w:tabs>
        <w:contextualSpacing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 w:val="en-AU"/>
        </w:rPr>
        <w:t xml:space="preserve">- </w:t>
      </w:r>
      <w:r w:rsidRPr="002921A2">
        <w:rPr>
          <w:rFonts w:eastAsia="Times New Roman" w:hAnsi="Times New Roman" w:ascii="Times New Roman"/>
          <w:lang w:eastAsia="hr-HR" w:val="en-AU"/>
        </w:rPr>
        <w:t>Anna Wanda Biel, Seget Gornji, Čarije 10.</w:t>
      </w:r>
      <w:r w:rsidRPr="002921A2">
        <w:rPr>
          <w:rFonts w:eastAsia="Times New Roman" w:hAnsi="Times New Roman" w:ascii="Times New Roman"/>
          <w:lang w:eastAsia="hr-HR"/>
        </w:rPr>
        <w:t xml:space="preserve"> </w:t>
      </w:r>
    </w:p>
    <w:p w:rsidRDefault="002921A2" w:rsidR="002921A2"/>
    <w:sectPr w:rsidSect="002921A2" w:rsidR="002921A2">
      <w:pgSz w:h="16838" w:w="11906"/>
      <w:pgMar w:gutter="0" w:footer="708" w:header="708" w:left="1417" w:bottom="709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21A2"/>
    <w:rsid w:val="002921A2"/>
    <w:rsid w:val="004F67B0"/>
    <w:rsid w:val="0096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6C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CF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6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CF4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6CF4"/>
    <w:rPr>
      <w:rFonts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6CF4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6CF4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6C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CF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6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CF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6CF4"/>
    <w:rPr>
      <w:rFonts w:ascii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6CF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6CF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St-785/2016-19</izvorni_sadrzaj>
    <derivirana_varijabla naziv="DomainObject.Oznaka_1">St-785/2016-19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2016.</izvorni_sadrzaj>
    <derivirana_varijabla naziv="DomainObject.Predmet.DatumRjesavanja_1">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SILESIANA j.d.o.o. za građenje</izvorni_sadrzaj>
    <derivirana_varijabla naziv="DomainObject.Predmet.ProtustrankaFormated_1">  SILESIANA j.d.o.o. za građenje</derivirana_varijabla>
  </DomainObject.Predmet.ProtustrankaFormated>
  <DomainObject.Predmet.ProtustrankaFormatedOIB>
    <izvorni_sadrzaj>  SILESIANA j.d.o.o. za građenje, OIB 70653829136</izvorni_sadrzaj>
    <derivirana_varijabla naziv="DomainObject.Predmet.ProtustrankaFormatedOIB_1">  SILESIANA j.d.o.o. za građenje, OIB 70653829136</derivirana_varijabla>
  </DomainObject.Predmet.ProtustrankaFormatedOIB>
  <DomainObject.Predmet.ProtustrankaFormatedWithAdress>
    <izvorni_sadrzaj> SILESIANA j.d.o.o. za građenje, Čarije 10, 21220 Seget Gornji</izvorni_sadrzaj>
    <derivirana_varijabla naziv="DomainObject.Predmet.ProtustrankaFormatedWithAdress_1"> SILESIANA j.d.o.o. za građenje, Čarije 10, 21220 Seget Gornji</derivirana_varijabla>
  </DomainObject.Predmet.ProtustrankaFormatedWithAdress>
  <DomainObject.Predmet.ProtustrankaFormatedWithAdressOIB>
    <izvorni_sadrzaj> SILESIANA j.d.o.o. za građenje, OIB 70653829136, Čarije 10, 21220 Seget Gornji</izvorni_sadrzaj>
    <derivirana_varijabla naziv="DomainObject.Predmet.ProtustrankaFormatedWithAdressOIB_1"> SILESIANA j.d.o.o. za građenje, OIB 70653829136, Čarije 10, 21220 Seget Gornji</derivirana_varijabla>
  </DomainObject.Predmet.ProtustrankaFormatedWithAdressOIB>
  <DomainObject.Predmet.ProtustrankaWithAdress>
    <izvorni_sadrzaj>SILESIANA j.d.o.o. za građenje Čarije 10, 21220 Seget Gornji</izvorni_sadrzaj>
    <derivirana_varijabla naziv="DomainObject.Predmet.ProtustrankaWithAdress_1">SILESIANA j.d.o.o. za građenje Čarije 10, 21220 Seget Gornji</derivirana_varijabla>
  </DomainObject.Predmet.ProtustrankaWithAdress>
  <DomainObject.Predmet.ProtustrankaWithAdressOIB>
    <izvorni_sadrzaj>SILESIANA j.d.o.o. za građenje, OIB 70653829136, Čarije 10, 21220 Seget Gornji</izvorni_sadrzaj>
    <derivirana_varijabla naziv="DomainObject.Predmet.ProtustrankaWithAdressOIB_1">SILESIANA j.d.o.o. za građenje, OIB 70653829136, Čarije 10, 21220 Seget Gornji</derivirana_varijabla>
  </DomainObject.Predmet.ProtustrankaWithAdressOIB>
  <DomainObject.Predmet.ProtustrankaNazivFormated>
    <izvorni_sadrzaj>SILESIANA j.d.o.o. za građenje</izvorni_sadrzaj>
    <derivirana_varijabla naziv="DomainObject.Predmet.ProtustrankaNazivFormated_1">SILESIANA j.d.o.o. za građenje</derivirana_varijabla>
  </DomainObject.Predmet.ProtustrankaNazivFormated>
  <DomainObject.Predmet.ProtustrankaNazivFormatedOIB>
    <izvorni_sadrzaj>SILESIANA j.d.o.o. za građenje, OIB 70653829136</izvorni_sadrzaj>
    <derivirana_varijabla naziv="DomainObject.Predmet.ProtustrankaNazivFormatedOIB_1">SILESIANA j.d.o.o. za građenje, OIB 70653829136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9787.52</izvorni_sadrzaj>
    <derivirana_varijabla naziv="DomainObject.Predmet.TrenutnaVrijednost_1">9787.52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SILESIANA j.d.o.o. za građenje</item>
    </izvorni_sadrzaj>
    <derivirana_varijabla naziv="DomainObject.Predmet.ProtuStrankaListFormated_1">
      <item>SILESIANA j.d.o.o. za građenje</item>
    </derivirana_varijabla>
  </DomainObject.Predmet.ProtuStrankaListFormated>
  <DomainObject.Predmet.ProtuStrankaListFormatedOIB>
    <izvorni_sadrzaj>
      <item>SILESIANA j.d.o.o. za građenje, OIB 70653829136</item>
    </izvorni_sadrzaj>
    <derivirana_varijabla naziv="DomainObject.Predmet.ProtuStrankaListFormatedOIB_1">
      <item>SILESIANA j.d.o.o. za građenje, OIB 70653829136</item>
    </derivirana_varijabla>
  </DomainObject.Predmet.ProtuStrankaListFormatedOIB>
  <DomainObject.Predmet.ProtuStrankaListFormatedWithAdress>
    <izvorni_sadrzaj>
      <item>SILESIANA j.d.o.o. za građenje, Čarije 10, 21220 Seget Gornji</item>
    </izvorni_sadrzaj>
    <derivirana_varijabla naziv="DomainObject.Predmet.ProtuStrankaListFormatedWithAdress_1">
      <item>SILESIANA j.d.o.o. za građenje, Čarije 10, 21220 Seget Gornji</item>
    </derivirana_varijabla>
  </DomainObject.Predmet.ProtuStrankaListFormatedWithAdress>
  <DomainObject.Predmet.ProtuStrankaListFormatedWithAdressOIB>
    <izvorni_sadrzaj>
      <item>SILESIANA j.d.o.o. za građenje, OIB 70653829136, Čarije 10, 21220 Seget Gornji</item>
    </izvorni_sadrzaj>
    <derivirana_varijabla naziv="DomainObject.Predmet.ProtuStrankaListFormatedWithAdressOIB_1">
      <item>SILESIANA j.d.o.o. za građenje, OIB 70653829136, Čarije 10, 21220 Seget Gornji</item>
    </derivirana_varijabla>
  </DomainObject.Predmet.ProtuStrankaListFormatedWithAdressOIB>
  <DomainObject.Predmet.ProtuStrankaListNazivFormated>
    <izvorni_sadrzaj>
      <item>SILESIANA j.d.o.o. za građenje</item>
    </izvorni_sadrzaj>
    <derivirana_varijabla naziv="DomainObject.Predmet.ProtuStrankaListNazivFormated_1">
      <item>SILESIANA j.d.o.o. za građenje</item>
    </derivirana_varijabla>
  </DomainObject.Predmet.ProtuStrankaListNazivFormated>
  <DomainObject.Predmet.ProtuStrankaListNazivFormatedOIB>
    <izvorni_sadrzaj>
      <item>SILESIANA j.d.o.o. za građenje, OIB 70653829136</item>
    </izvorni_sadrzaj>
    <derivirana_varijabla naziv="DomainObject.Predmet.ProtuStrankaListNazivFormatedOIB_1">
      <item>SILESIANA j.d.o.o. za građenje, OIB 70653829136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St-785/2016-19</izvorni_sadrzaj>
    <derivirana_varijabla naziv="DomainObject.PoslovniBrojDokumenta_1">St-785/2016-19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SILESIANA j.d.o.o. za građenje</izvorni_sadrzaj>
    <derivirana_varijabla naziv="DomainObject.Predmet.ProtustrankaIDrugi_1">SILESIANA j.d.o.o.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SILESIANA j.d.o.o. za građenje, OIB 70653829136, Čarije 10, 21220 Seget Gornji</izvorni_sadrzaj>
    <derivirana_varijabla naziv="DomainObject.Predmet.ProtustrankaIDrugiAdressOIB_1">SILESIANA j.d.o.o. za građenje, OIB 70653829136, Čarije 10, 21220 Seget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2016.</izvorni_sadrzaj>
    <derivirana_varijabla naziv="DomainObject.Predmet.OdlukaRjesenje.DatumDonosenjaOdluke_1">31. listopada 2016.</derivirana_varijabla>
  </DomainObject.Predmet.OdlukaRjesenje.DatumDonosenjaOdluke>
  <DomainObject.Predmet.OdlukaRjesenje.DatumPravomocnosti>
    <izvorni_sadrzaj>17. studenog 2016.</izvorni_sadrzaj>
    <derivirana_varijabla naziv="DomainObject.Predmet.OdlukaRjesenje.DatumPravomocnosti_1">17. studenog 2016.</derivirana_varijabla>
  </DomainObject.Predmet.OdlukaRjesenje.DatumPravomocnosti>
  <DomainObject.Predmet.OdlukaRjesenje.Oznaka>
    <izvorni_sadrzaj>St-785/2016-14</izvorni_sadrzaj>
    <derivirana_varijabla naziv="DomainObject.Predmet.OdlukaRjesenje.Oznaka_1">St-785/2016-14</derivirana_varijabla>
  </DomainObject.Predmet.OdlukaRjesenje.Oznaka>
  <DomainObject.Predmet.SudioniciListNaziv>
    <izvorni_sadrzaj>
      <item>SILESIANA j.d.o.o. za građenje</item>
      <item>FINANCIJSKA AGENCIJA, RC SPLIT</item>
    </izvorni_sadrzaj>
    <derivirana_varijabla naziv="DomainObject.Predmet.SudioniciListNaziv_1">
      <item>SILESIANA j.d.o.o. za građenje</item>
      <item>FINANCIJSKA AGENCIJA, RC SPLIT</item>
    </derivirana_varijabla>
  </DomainObject.Predmet.SudioniciListNaziv>
  <DomainObject.Predmet.SudioniciListAdressOIB>
    <izvorni_sadrzaj>
      <item>SILESIANA j.d.o.o. za građenje, OIB 70653829136, Čarije 10,21220 Seget Gornji</item>
      <item>FINANCIJSKA AGENCIJA, RC SPLIT, OIB 85821130368, Mažuranićevo šetalište 24 b,21000 Split</item>
    </izvorni_sadrzaj>
    <derivirana_varijabla naziv="DomainObject.Predmet.SudioniciListAdressOIB_1">
      <item>SILESIANA j.d.o.o. za građenje, OIB 70653829136, Čarije 10,21220 Seget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70653829136</item>
      <item>, OIB 85821130368</item>
    </izvorni_sadrzaj>
    <derivirana_varijabla naziv="DomainObject.Predmet.SudioniciListNazivOIB_1">
      <item>, OIB 70653829136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1637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2016-12-15T13:21:00Z</dcterms:created>
  <dc:creator>Srđan Gavranić</dc:creator>
  <cp:lastModifiedBy>Srđan Gavranić</cp:lastModifiedBy>
  <dcterms:modified xmlns:xsi="http://www.w3.org/2001/XMLSchema-instance" xsi:type="dcterms:W3CDTF">2016-12-15T13:24:00Z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St-785/2016-19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