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a2a4" w14:paraId="0a9a2a4" w:rsidRDefault="00DA469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612140</wp:posOffset>
            </wp:positionV>
            <wp:extent cy="884555" cx="6629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84555" cx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4691" w:rsidP="00DA4691" w:rsidR="00DA4691">
      <w:pPr>
        <w:spacing w:after="0"/>
        <w:jc w:val="both"/>
      </w:pPr>
      <w:r>
        <w:t xml:space="preserve">           Republika Hrvatska</w:t>
      </w:r>
    </w:p>
    <w:p w:rsidRDefault="00DA4691" w:rsidP="00DA4691" w:rsidR="00DA469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A4691" w:rsidP="00DA4691" w:rsidR="00DA469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DA4691">
        <w:rPr>
          <w:rFonts w:cs="Times New Roman" w:eastAsia="Times New Roman"/>
          <w:noProof/>
          <w:szCs w:val="20"/>
          <w:lang w:eastAsia="hr-HR" w:val="en-GB"/>
        </w:rPr>
        <w:t xml:space="preserve">   Poslovni broj: 5. St-769/2018-20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A4691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DA4691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A4691" w:rsidP="00DA4691" w:rsidR="00DA4691" w:rsidRPr="00DA4691">
      <w:pPr>
        <w:ind w:firstLine="851"/>
        <w:jc w:val="both"/>
        <w:rPr>
          <w:rFonts w:cs="Times New Roman" w:eastAsia="Calibri"/>
          <w:szCs w:val="20"/>
          <w:lang w:val="en-US"/>
        </w:rPr>
      </w:pPr>
      <w:proofErr w:type="spellStart"/>
      <w:r w:rsidRPr="00DA4691">
        <w:rPr>
          <w:rFonts w:cs="Times New Roman" w:eastAsia="Calibri"/>
          <w:szCs w:val="20"/>
          <w:lang w:val="en-US"/>
        </w:rPr>
        <w:t>Trgovački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szCs w:val="20"/>
          <w:lang w:val="en-US"/>
        </w:rPr>
        <w:t>sud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u </w:t>
      </w:r>
      <w:proofErr w:type="spellStart"/>
      <w:r w:rsidRPr="00DA4691">
        <w:rPr>
          <w:rFonts w:cs="Times New Roman" w:eastAsia="Calibri"/>
          <w:szCs w:val="20"/>
          <w:lang w:val="en-US"/>
        </w:rPr>
        <w:t>Bjelovaru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DA4691">
        <w:rPr>
          <w:rFonts w:cs="Times New Roman" w:eastAsia="Calibri"/>
          <w:szCs w:val="20"/>
          <w:lang w:val="en-US"/>
        </w:rPr>
        <w:t>po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szCs w:val="20"/>
          <w:lang w:val="en-US"/>
        </w:rPr>
        <w:t>sutkinji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szCs w:val="20"/>
          <w:lang w:val="en-US"/>
        </w:rPr>
        <w:t>Mariji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Petrina Kubica, u </w:t>
      </w:r>
      <w:proofErr w:type="spellStart"/>
      <w:r w:rsidRPr="00DA4691">
        <w:rPr>
          <w:rFonts w:cs="Times New Roman" w:eastAsia="Calibri"/>
          <w:szCs w:val="20"/>
          <w:lang w:val="en-US"/>
        </w:rPr>
        <w:t>stečajnom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szCs w:val="20"/>
          <w:lang w:val="en-US"/>
        </w:rPr>
        <w:t>postupku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szCs w:val="20"/>
          <w:lang w:val="en-US"/>
        </w:rPr>
        <w:t>nad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szCs w:val="20"/>
          <w:lang w:val="en-US"/>
        </w:rPr>
        <w:t>dužnikom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lang w:val="en-US"/>
        </w:rPr>
        <w:t>Stečajna</w:t>
      </w:r>
      <w:proofErr w:type="spellEnd"/>
      <w:r w:rsidRPr="00DA4691">
        <w:rPr>
          <w:rFonts w:cs="Times New Roman" w:eastAsia="Calibri"/>
          <w:lang w:val="en-US"/>
        </w:rPr>
        <w:t xml:space="preserve"> masa </w:t>
      </w:r>
      <w:proofErr w:type="spellStart"/>
      <w:r w:rsidRPr="00DA4691">
        <w:rPr>
          <w:rFonts w:cs="Times New Roman" w:eastAsia="Calibri"/>
          <w:lang w:val="en-US"/>
        </w:rPr>
        <w:t>iza</w:t>
      </w:r>
      <w:proofErr w:type="spellEnd"/>
      <w:r w:rsidRPr="00DA4691">
        <w:rPr>
          <w:rFonts w:cs="Times New Roman" w:eastAsia="Calibri"/>
          <w:lang w:val="en-US"/>
        </w:rPr>
        <w:t xml:space="preserve"> PRO-GRAD d.o.o. </w:t>
      </w:r>
      <w:proofErr w:type="spellStart"/>
      <w:r w:rsidRPr="00DA4691">
        <w:rPr>
          <w:rFonts w:cs="Times New Roman" w:eastAsia="Calibri"/>
          <w:lang w:val="en-US"/>
        </w:rPr>
        <w:t>za</w:t>
      </w:r>
      <w:proofErr w:type="spellEnd"/>
      <w:r w:rsidRPr="00DA4691">
        <w:rPr>
          <w:rFonts w:cs="Times New Roman" w:eastAsia="Calibri"/>
          <w:lang w:val="en-US"/>
        </w:rPr>
        <w:t xml:space="preserve"> </w:t>
      </w:r>
      <w:proofErr w:type="spellStart"/>
      <w:r w:rsidRPr="00DA4691">
        <w:rPr>
          <w:rFonts w:cs="Times New Roman" w:eastAsia="Calibri"/>
          <w:lang w:val="en-US"/>
        </w:rPr>
        <w:t>građenje</w:t>
      </w:r>
      <w:proofErr w:type="spellEnd"/>
      <w:r w:rsidRPr="00DA4691">
        <w:rPr>
          <w:rFonts w:cs="Times New Roman" w:eastAsia="Calibri"/>
          <w:lang w:val="en-US"/>
        </w:rPr>
        <w:t xml:space="preserve">, </w:t>
      </w:r>
      <w:proofErr w:type="spellStart"/>
      <w:r w:rsidRPr="00DA4691">
        <w:rPr>
          <w:rFonts w:cs="Times New Roman" w:eastAsia="Calibri"/>
          <w:lang w:val="en-US"/>
        </w:rPr>
        <w:t>projektiranje</w:t>
      </w:r>
      <w:proofErr w:type="spellEnd"/>
      <w:r w:rsidRPr="00DA4691">
        <w:rPr>
          <w:rFonts w:cs="Times New Roman" w:eastAsia="Calibri"/>
          <w:lang w:val="en-US"/>
        </w:rPr>
        <w:t xml:space="preserve">, </w:t>
      </w:r>
      <w:proofErr w:type="spellStart"/>
      <w:r w:rsidRPr="00DA4691">
        <w:rPr>
          <w:rFonts w:cs="Times New Roman" w:eastAsia="Calibri"/>
          <w:lang w:val="en-US"/>
        </w:rPr>
        <w:t>nadzor</w:t>
      </w:r>
      <w:proofErr w:type="spellEnd"/>
      <w:r w:rsidRPr="00DA4691">
        <w:rPr>
          <w:rFonts w:cs="Times New Roman" w:eastAsia="Calibri"/>
          <w:lang w:val="en-US"/>
        </w:rPr>
        <w:t xml:space="preserve"> </w:t>
      </w:r>
      <w:proofErr w:type="spellStart"/>
      <w:r w:rsidRPr="00DA4691">
        <w:rPr>
          <w:rFonts w:cs="Times New Roman" w:eastAsia="Calibri"/>
          <w:lang w:val="en-US"/>
        </w:rPr>
        <w:t>i</w:t>
      </w:r>
      <w:proofErr w:type="spellEnd"/>
      <w:r w:rsidRPr="00DA4691">
        <w:rPr>
          <w:rFonts w:cs="Times New Roman" w:eastAsia="Calibri"/>
          <w:lang w:val="en-US"/>
        </w:rPr>
        <w:t xml:space="preserve"> </w:t>
      </w:r>
      <w:proofErr w:type="spellStart"/>
      <w:r w:rsidRPr="00DA4691">
        <w:rPr>
          <w:rFonts w:cs="Times New Roman" w:eastAsia="Calibri"/>
          <w:lang w:val="en-US"/>
        </w:rPr>
        <w:t>prijevoz</w:t>
      </w:r>
      <w:proofErr w:type="spellEnd"/>
      <w:r w:rsidRPr="00DA4691">
        <w:rPr>
          <w:rFonts w:cs="Times New Roman" w:eastAsia="Calibri"/>
          <w:lang w:val="en-US"/>
        </w:rPr>
        <w:t xml:space="preserve"> u </w:t>
      </w:r>
      <w:proofErr w:type="spellStart"/>
      <w:r w:rsidRPr="00DA4691">
        <w:rPr>
          <w:rFonts w:cs="Times New Roman" w:eastAsia="Calibri"/>
          <w:lang w:val="en-US"/>
        </w:rPr>
        <w:t>stečaju</w:t>
      </w:r>
      <w:proofErr w:type="spellEnd"/>
      <w:r w:rsidRPr="00DA4691">
        <w:rPr>
          <w:rFonts w:cs="Times New Roman" w:eastAsia="Calibri"/>
          <w:lang w:val="en-US"/>
        </w:rPr>
        <w:t xml:space="preserve">, Bjelovar, Josipa </w:t>
      </w:r>
      <w:proofErr w:type="spellStart"/>
      <w:r w:rsidRPr="00DA4691">
        <w:rPr>
          <w:rFonts w:cs="Times New Roman" w:eastAsia="Calibri"/>
          <w:lang w:val="en-US"/>
        </w:rPr>
        <w:t>Jelačića</w:t>
      </w:r>
      <w:proofErr w:type="spellEnd"/>
      <w:r w:rsidRPr="00DA4691">
        <w:rPr>
          <w:rFonts w:cs="Times New Roman" w:eastAsia="Calibri"/>
          <w:lang w:val="en-US"/>
        </w:rPr>
        <w:t xml:space="preserve"> 12, MBS:081202423</w:t>
      </w:r>
      <w:r w:rsidRPr="00DA4691">
        <w:rPr>
          <w:rFonts w:cs="Times New Roman" w:eastAsia="Calibri"/>
          <w:color w:val="003366"/>
          <w:lang w:val="en-US"/>
        </w:rPr>
        <w:t xml:space="preserve">, </w:t>
      </w:r>
      <w:r w:rsidRPr="00DA4691">
        <w:rPr>
          <w:rFonts w:cs="Times New Roman" w:eastAsia="Calibri"/>
          <w:lang w:val="en-US"/>
        </w:rPr>
        <w:t>OIB: 22212899430</w:t>
      </w:r>
      <w:r w:rsidRPr="00DA4691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DA4691">
        <w:rPr>
          <w:rFonts w:cs="Times New Roman" w:eastAsia="Calibri"/>
          <w:szCs w:val="20"/>
          <w:lang w:val="en-US"/>
        </w:rPr>
        <w:t>po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szCs w:val="20"/>
          <w:lang w:val="en-US"/>
        </w:rPr>
        <w:t>prijedlogu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szCs w:val="20"/>
          <w:lang w:val="en-US"/>
        </w:rPr>
        <w:t>stečajnog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szCs w:val="20"/>
          <w:lang w:val="en-US"/>
        </w:rPr>
        <w:t>upravitelja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DA4691">
        <w:rPr>
          <w:rFonts w:cs="Times New Roman" w:eastAsia="Calibri"/>
          <w:szCs w:val="20"/>
          <w:lang w:val="en-US"/>
        </w:rPr>
        <w:t>temeljem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szCs w:val="20"/>
          <w:lang w:val="en-US"/>
        </w:rPr>
        <w:t>odredbe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čl.104. </w:t>
      </w:r>
      <w:proofErr w:type="spellStart"/>
      <w:proofErr w:type="gramStart"/>
      <w:r w:rsidRPr="00DA4691">
        <w:rPr>
          <w:rFonts w:cs="Times New Roman" w:eastAsia="Calibri"/>
          <w:szCs w:val="20"/>
          <w:lang w:val="en-US"/>
        </w:rPr>
        <w:t>Stečajnog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DA4691">
        <w:rPr>
          <w:rFonts w:cs="Times New Roman" w:eastAsia="Calibri"/>
          <w:szCs w:val="20"/>
          <w:lang w:val="en-US"/>
        </w:rPr>
        <w:t>zakona</w:t>
      </w:r>
      <w:proofErr w:type="spellEnd"/>
      <w:r w:rsidRPr="00DA4691">
        <w:rPr>
          <w:rFonts w:cs="Times New Roman" w:eastAsia="Calibri"/>
          <w:szCs w:val="20"/>
          <w:lang w:val="en-US"/>
        </w:rPr>
        <w:t xml:space="preserve"> </w:t>
      </w:r>
      <w:r w:rsidRPr="00DA4691">
        <w:rPr>
          <w:rFonts w:cs="Times New Roman" w:eastAsia="Calibri"/>
          <w:noProof/>
          <w:szCs w:val="20"/>
          <w:lang w:val="en-US"/>
        </w:rPr>
        <w:t>("Narodne novine" broj 71/15 i 104/17)</w:t>
      </w:r>
      <w:r w:rsidRPr="00DA4691">
        <w:rPr>
          <w:rFonts w:cs="Times New Roman" w:eastAsia="Calibri"/>
          <w:szCs w:val="20"/>
          <w:lang w:val="en-US"/>
        </w:rPr>
        <w:t>, 13.</w:t>
      </w:r>
      <w:proofErr w:type="gramEnd"/>
      <w:r w:rsidRPr="00DA4691">
        <w:rPr>
          <w:rFonts w:cs="Times New Roman" w:eastAsia="Calibri"/>
          <w:szCs w:val="20"/>
          <w:lang w:val="en-US"/>
        </w:rPr>
        <w:t xml:space="preserve"> </w:t>
      </w:r>
      <w:proofErr w:type="spellStart"/>
      <w:proofErr w:type="gramStart"/>
      <w:r w:rsidRPr="00DA4691">
        <w:rPr>
          <w:rFonts w:cs="Times New Roman" w:eastAsia="Calibri"/>
          <w:szCs w:val="20"/>
          <w:lang w:val="en-US"/>
        </w:rPr>
        <w:t>lipnja</w:t>
      </w:r>
      <w:proofErr w:type="spellEnd"/>
      <w:proofErr w:type="gramEnd"/>
      <w:r w:rsidRPr="00DA4691">
        <w:rPr>
          <w:rFonts w:cs="Times New Roman" w:eastAsia="Calibri"/>
          <w:szCs w:val="20"/>
          <w:lang w:val="en-US"/>
        </w:rPr>
        <w:t xml:space="preserve"> 2019.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A4691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DA4691">
        <w:rPr>
          <w:rFonts w:cs="Times New Roman" w:eastAsia="Times New Roman"/>
          <w:szCs w:val="20"/>
          <w:lang w:eastAsia="hr-HR"/>
        </w:rPr>
        <w:t xml:space="preserve">1. Saziva se skupština vjerovnika za dan 9. srpnja 2019. u 10,00 sati u ovome sudu u Bjelovaru, Šetalište dr. </w:t>
      </w:r>
      <w:proofErr w:type="spellStart"/>
      <w:r w:rsidRPr="00DA469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A469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A469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A4691">
        <w:rPr>
          <w:rFonts w:cs="Times New Roman" w:eastAsia="Times New Roman"/>
          <w:szCs w:val="20"/>
          <w:lang w:eastAsia="hr-HR"/>
        </w:rPr>
        <w:t xml:space="preserve"> 42, sudnica br. 1, sa sljedećim 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firstLine="567"/>
        <w:jc w:val="center"/>
        <w:rPr>
          <w:rFonts w:cs="Times New Roman" w:eastAsia="Times New Roman"/>
          <w:szCs w:val="20"/>
          <w:lang w:eastAsia="hr-HR"/>
        </w:rPr>
      </w:pPr>
      <w:r w:rsidRPr="00DA4691">
        <w:rPr>
          <w:rFonts w:cs="Times New Roman" w:eastAsia="Times New Roman"/>
          <w:szCs w:val="20"/>
          <w:lang w:eastAsia="hr-HR"/>
        </w:rPr>
        <w:t>DNEVNIM  REDOM:</w:t>
      </w:r>
    </w:p>
    <w:p w:rsidRDefault="00DA4691" w:rsidP="00DA4691" w:rsidR="00DA4691" w:rsidRPr="00DA4691">
      <w:pPr>
        <w:autoSpaceDE w:val="false"/>
        <w:autoSpaceDN w:val="false"/>
        <w:adjustRightInd w:val="false"/>
        <w:spacing w:after="0"/>
        <w:rPr>
          <w:rFonts w:cs="Times New Roman" w:eastAsia="Times New Roman"/>
          <w:color w:val="000000"/>
          <w:lang w:eastAsia="hr-HR"/>
        </w:rPr>
      </w:pPr>
      <w:r w:rsidRPr="00DA4691">
        <w:rPr>
          <w:rFonts w:cs="Times New Roman" w:eastAsia="Times New Roman"/>
          <w:color w:val="000000"/>
          <w:szCs w:val="20"/>
          <w:lang w:eastAsia="hr-HR"/>
        </w:rPr>
        <w:t xml:space="preserve"> </w:t>
      </w:r>
    </w:p>
    <w:p w:rsidRDefault="00DA4691" w:rsidP="00DA4691" w:rsidR="00DA4691" w:rsidRPr="00DA4691">
      <w:pPr>
        <w:autoSpaceDE w:val="false"/>
        <w:autoSpaceDN w:val="false"/>
        <w:adjustRightInd w:val="false"/>
        <w:spacing w:after="0"/>
        <w:rPr>
          <w:rFonts w:cs="Times New Roman" w:eastAsia="Times New Roman"/>
          <w:color w:val="000000"/>
          <w:lang w:eastAsia="hr-HR"/>
        </w:rPr>
      </w:pPr>
      <w:r w:rsidRPr="00DA4691">
        <w:rPr>
          <w:rFonts w:cs="Times New Roman" w:eastAsia="Times New Roman"/>
          <w:color w:val="000000"/>
          <w:lang w:eastAsia="hr-HR"/>
        </w:rPr>
        <w:t xml:space="preserve"> </w:t>
      </w:r>
    </w:p>
    <w:p w:rsidRDefault="00DA4691" w:rsidP="00DA4691" w:rsidR="00DA4691" w:rsidRPr="00DA4691">
      <w:pPr>
        <w:autoSpaceDE w:val="false"/>
        <w:autoSpaceDN w:val="false"/>
        <w:adjustRightInd w:val="false"/>
        <w:spacing w:after="31"/>
        <w:ind w:firstLine="851"/>
        <w:jc w:val="both"/>
        <w:rPr>
          <w:rFonts w:cs="Times New Roman" w:eastAsia="Times New Roman"/>
          <w:bCs/>
          <w:color w:val="000000"/>
          <w:lang w:eastAsia="hr-HR"/>
        </w:rPr>
      </w:pPr>
      <w:r w:rsidRPr="00DA4691">
        <w:rPr>
          <w:rFonts w:cs="Times New Roman" w:eastAsia="Times New Roman"/>
          <w:bCs/>
          <w:color w:val="000000"/>
          <w:lang w:eastAsia="hr-HR"/>
        </w:rPr>
        <w:t xml:space="preserve">1. Donošenje odluke o načinu unovčenja nekretnina stečajnog dužnika koje čine stečajnu masu, a koje nisu opterećene </w:t>
      </w:r>
      <w:proofErr w:type="spellStart"/>
      <w:r w:rsidRPr="00DA4691">
        <w:rPr>
          <w:rFonts w:cs="Times New Roman" w:eastAsia="Times New Roman"/>
          <w:bCs/>
          <w:color w:val="000000"/>
          <w:lang w:eastAsia="hr-HR"/>
        </w:rPr>
        <w:t>razlučnim</w:t>
      </w:r>
      <w:proofErr w:type="spellEnd"/>
      <w:r w:rsidRPr="00DA4691">
        <w:rPr>
          <w:rFonts w:cs="Times New Roman" w:eastAsia="Times New Roman"/>
          <w:bCs/>
          <w:color w:val="000000"/>
          <w:lang w:eastAsia="hr-HR"/>
        </w:rPr>
        <w:t xml:space="preserve"> pravima </w:t>
      </w:r>
    </w:p>
    <w:p w:rsidRDefault="00DA4691" w:rsidP="00DA4691" w:rsidR="00DA4691" w:rsidRPr="00DA4691">
      <w:pPr>
        <w:autoSpaceDE w:val="false"/>
        <w:autoSpaceDN w:val="false"/>
        <w:adjustRightInd w:val="false"/>
        <w:spacing w:after="31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DA4691" w:rsidP="00DA4691" w:rsidR="00DA4691" w:rsidRPr="00DA4691">
      <w:pPr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DA4691">
        <w:rPr>
          <w:rFonts w:cs="Times New Roman" w:eastAsia="Times New Roman"/>
          <w:bCs/>
          <w:color w:val="000000"/>
          <w:lang w:eastAsia="hr-HR"/>
        </w:rPr>
        <w:t xml:space="preserve">2. Upoznavanje stečajnih vjerovnika sa stanjem stečajne mase i tijekom sudskih postupaka. 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DA4691">
        <w:rPr>
          <w:rFonts w:cs="Times New Roman" w:eastAsia="Times New Roman"/>
          <w:szCs w:val="20"/>
          <w:lang w:eastAsia="hr-HR"/>
        </w:rPr>
        <w:t>2.  Na skupštinu se pozivaju stečajni vjerovnici i stečajni upravitelj Jugoslav Puran.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DA4691">
        <w:rPr>
          <w:rFonts w:cs="Times New Roman" w:eastAsia="Times New Roman"/>
          <w:szCs w:val="20"/>
          <w:lang w:eastAsia="hr-HR"/>
        </w:rPr>
        <w:t>3. Ovo rješenje objaviti će se na e-oglasnoj ploči suda.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A4691">
        <w:rPr>
          <w:rFonts w:cs="Times New Roman" w:eastAsia="Times New Roman"/>
          <w:noProof/>
          <w:szCs w:val="20"/>
          <w:lang w:eastAsia="hr-HR" w:val="en-GB"/>
        </w:rPr>
        <w:t xml:space="preserve">U Bjelovaru 13. lipnja 2019. 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A4691">
        <w:rPr>
          <w:rFonts w:cs="Times New Roman" w:eastAsia="Times New Roman"/>
          <w:noProof/>
          <w:szCs w:val="20"/>
          <w:lang w:eastAsia="hr-HR" w:val="en-GB"/>
        </w:rPr>
        <w:t xml:space="preserve">                  Sutkinja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A4691">
        <w:rPr>
          <w:rFonts w:cs="Times New Roman" w:eastAsia="Times New Roman"/>
          <w:noProof/>
          <w:szCs w:val="20"/>
          <w:lang w:eastAsia="hr-HR" w:val="en-GB"/>
        </w:rPr>
        <w:t xml:space="preserve">             Marija Petrina Kubica v.r.</w:t>
      </w: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A4691" w:rsidP="00DA4691" w:rsidR="00DA4691" w:rsidRPr="00DA469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A469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A4691" w:rsidP="00DA4691" w:rsidR="00DA4691" w:rsidRPr="00DA469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A469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A4691" w:rsidP="00DA4691" w:rsidR="00DA4691" w:rsidRPr="00DA469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 w:val="en-GB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A4691" w:rsidP="00DA4691" w:rsidR="00DA4691" w:rsidRPr="00DA46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DA4691" w:rsidP="00DA4691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DA4691">
        <w:rPr>
          <w:rFonts w:cs="Times New Roman" w:eastAsia="Times New Roman"/>
          <w:noProof/>
          <w:szCs w:val="20"/>
          <w:lang w:eastAsia="hr-HR" w:val="en-GB"/>
        </w:rPr>
        <w:t>Uputa o pravnom lijeku: Protiv ovog rješenja nije dopuštena posebna žalba.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691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804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42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St-769/2018-20</izvorni_sadrzaj>
    <derivirana_varijabla naziv="DomainObject.Oznaka_1">St-769/2018-20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PRO-GRAD d.o.o. za građenje, projektiranje, nadzor i prijevoz u stečaju</izvorni_sadrzaj>
    <derivirana_varijabla naziv="DomainObject.Predmet.ProtustrankaFormated_1">  Stečajna masa iza PRO-GRAD d.o.o. za građenje, projektiranje, nadzor i prijevoz u stečaju</derivirana_varijabla>
  </DomainObject.Predmet.ProtustrankaFormated>
  <DomainObject.Predmet.ProtustrankaFormatedOIB>
    <izvorni_sadrzaj>  Stečajna masa iza PRO-GRAD d.o.o. za građenje, projektiranje, nadzor i prijevoz u stečaju, OIB 22212899430</izvorni_sadrzaj>
    <derivirana_varijabla naziv="DomainObject.Predmet.ProtustrankaFormatedOIB_1">  Stečajna masa iza PRO-GRAD d.o.o. za građenje, projektiranje, nadzor i prijevoz u stečaju, OIB 22212899430</derivirana_varijabla>
  </DomainObject.Predmet.ProtustrankaFormatedOIB>
  <DomainObject.Predmet.ProtustrankaFormatedWithAdress>
    <izvorni_sadrzaj> Stečajna masa iza PRO-GRAD d.o.o. za građenje, projektiranje, nadzor i prijevoz u stečaju, Josipa Jelačića 12, 43000 Bjelovar</izvorni_sadrzaj>
    <derivirana_varijabla naziv="DomainObject.Predmet.ProtustrankaFormatedWithAdress_1"> Stečajna masa iza PRO-GRAD d.o.o. za građenje, projektiranje, nadzor i prijevoz u stečaju, Josipa Jelačića 12, 43000 Bjelovar</derivirana_varijabla>
  </DomainObject.Predmet.ProtustrankaFormatedWithAdress>
  <DomainObject.Predmet.ProtustrankaFormatedWithAdressOIB>
    <izvorni_sadrzaj> Stečajna masa iza PRO-GRAD d.o.o. za građenje, projektiranje, nadzor i prijevoz u stečaju, OIB 22212899430, Josipa Jelačića 12, 43000 Bjelovar</izvorni_sadrzaj>
    <derivirana_varijabla naziv="DomainObject.Predmet.ProtustrankaFormatedWithAdressOIB_1"> Stečajna masa iza PRO-GRAD d.o.o. za građenje, projektiranje, nadzor i prijevoz u stečaju, OIB 22212899430, Josipa Jelačića 12, 43000 Bjelovar</derivirana_varijabla>
  </DomainObject.Predmet.ProtustrankaFormatedWithAdressOIB>
  <DomainObject.Predmet.ProtustrankaWithAdress>
    <izvorni_sadrzaj>Stečajna masa iza PRO-GRAD d.o.o. za građenje, projektiranje, nadzor i prijevoz u stečaju Josipa Jelačića 12, 43000 Bjelovar</izvorni_sadrzaj>
    <derivirana_varijabla naziv="DomainObject.Predmet.ProtustrankaWithAdress_1">Stečajna masa iza PRO-GRAD d.o.o. za građenje, projektiranje, nadzor i prijevoz u stečaju Josipa Jelačića 12, 43000 Bjelovar</derivirana_varijabla>
  </DomainObject.Predmet.ProtustrankaWithAdress>
  <DomainObject.Predmet.ProtustrankaWithAdressOIB>
    <izvorni_sadrzaj>Stečajna masa iza PRO-GRAD d.o.o. za građenje, projektiranje, nadzor i prijevoz u stečaju, OIB 22212899430, Josipa Jelačića 12, 43000 Bjelovar</izvorni_sadrzaj>
    <derivirana_varijabla naziv="DomainObject.Predmet.ProtustrankaWithAdressOIB_1">Stečajna masa iza PRO-GRAD d.o.o. za građenje, projektiranje, nadzor i prijevoz u stečaju, OIB 22212899430, Josipa Jelačića 12, 43000 Bjelovar</derivirana_varijabla>
  </DomainObject.Predmet.ProtustrankaWithAdressOIB>
  <DomainObject.Predmet.ProtustrankaNazivFormated>
    <izvorni_sadrzaj>Stečajna masa iza PRO-GRAD d.o.o. za građenje, projektiranje, nadzor i prijevoz u stečaju</izvorni_sadrzaj>
    <derivirana_varijabla naziv="DomainObject.Predmet.ProtustrankaNazivFormated_1">Stečajna masa iza PRO-GRAD d.o.o. za građenje, projektiranje, nadzor i prijevoz u stečaju</derivirana_varijabla>
  </DomainObject.Predmet.ProtustrankaNazivFormated>
  <DomainObject.Predmet.ProtustrankaNazivFormatedOIB>
    <izvorni_sadrzaj>Stečajna masa iza PRO-GRAD d.o.o. za građenje, projektiranje, nadzor i prijevoz u stečaju, OIB 22212899430</izvorni_sadrzaj>
    <derivirana_varijabla naziv="DomainObject.Predmet.ProtustrankaNazivFormatedOIB_1">Stečajna masa iza PRO-GRAD d.o.o. za građenje, projektiranje, nadzor i prijevoz u stečaju, OIB 22212899430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Jugoslav Puran</izvorni_sadrzaj>
    <derivirana_varijabla naziv="DomainObject.Predmet.StrankaFormated_1">  Jugoslav Puran</derivirana_varijabla>
  </DomainObject.Predmet.StrankaFormated>
  <DomainObject.Predmet.StrankaFormatedOIB>
    <izvorni_sadrzaj>  Jugoslav Puran, OIB 70582689973</izvorni_sadrzaj>
    <derivirana_varijabla naziv="DomainObject.Predmet.StrankaFormatedOIB_1">  Jugoslav Puran, OIB 70582689973</derivirana_varijabla>
  </DomainObject.Predmet.StrankaFormatedOIB>
  <DomainObject.Predmet.StrankaFormatedWithAdress>
    <izvorni_sadrzaj> Jugoslav Puran, Josipa Jelačića 12, 43000 Bjelovar</izvorni_sadrzaj>
    <derivirana_varijabla naziv="DomainObject.Predmet.StrankaFormatedWithAdress_1"> Jugoslav Puran, Josipa Jelačića 12, 43000 Bjelovar</derivirana_varijabla>
  </DomainObject.Predmet.StrankaFormatedWithAdress>
  <DomainObject.Predmet.StrankaFormatedWithAdressOIB>
    <izvorni_sadrzaj> Jugoslav Puran, OIB 70582689973, Josipa Jelačića 12, 43000 Bjelovar</izvorni_sadrzaj>
    <derivirana_varijabla naziv="DomainObject.Predmet.StrankaFormatedWithAdressOIB_1"> Jugoslav Puran, OIB 70582689973, Josipa Jelačića 12, 43000 Bjelovar</derivirana_varijabla>
  </DomainObject.Predmet.StrankaFormatedWithAdressOIB>
  <DomainObject.Predmet.StrankaWithAdress>
    <izvorni_sadrzaj>Jugoslav Puran Josipa Jelačića 12,43000 Bjelovar</izvorni_sadrzaj>
    <derivirana_varijabla naziv="DomainObject.Predmet.StrankaWithAdress_1">Jugoslav Puran Josipa Jelačića 12,43000 Bjelovar</derivirana_varijabla>
  </DomainObject.Predmet.StrankaWithAdress>
  <DomainObject.Predmet.StrankaWithAdressOIB>
    <izvorni_sadrzaj>Jugoslav Puran, OIB 70582689973, Josipa Jelačića 12,43000 Bjelovar</izvorni_sadrzaj>
    <derivirana_varijabla naziv="DomainObject.Predmet.StrankaWithAdressOIB_1">Jugoslav Puran, OIB 70582689973, Josipa Jelačića 12,43000 Bjelovar</derivirana_varijabla>
  </DomainObject.Predmet.StrankaWithAdressOIB>
  <DomainObject.Predmet.StrankaNazivFormated>
    <izvorni_sadrzaj>Jugoslav Puran</izvorni_sadrzaj>
    <derivirana_varijabla naziv="DomainObject.Predmet.StrankaNazivFormated_1">Jugoslav Puran</derivirana_varijabla>
  </DomainObject.Predmet.StrankaNazivFormated>
  <DomainObject.Predmet.StrankaNazivFormatedOIB>
    <izvorni_sadrzaj>Jugoslav Puran, OIB 70582689973</izvorni_sadrzaj>
    <derivirana_varijabla naziv="DomainObject.Predmet.StrankaNazivFormatedOIB_1">Jugoslav Puran, OIB 70582689973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Jugoslav Puran</item>
    </izvorni_sadrzaj>
    <derivirana_varijabla naziv="DomainObject.Predmet.StrankaListFormated_1">
      <item>Jugoslav Puran</item>
    </derivirana_varijabla>
  </DomainObject.Predmet.StrankaListFormated>
  <DomainObject.Predmet.StrankaListFormatedOIB>
    <izvorni_sadrzaj>
      <item>Jugoslav Puran, OIB 70582689973</item>
    </izvorni_sadrzaj>
    <derivirana_varijabla naziv="DomainObject.Predmet.StrankaListFormatedOIB_1">
      <item>Jugoslav Puran, OIB 70582689973</item>
    </derivirana_varijabla>
  </DomainObject.Predmet.StrankaListFormatedOIB>
  <DomainObject.Predmet.StrankaListFormatedWithAdress>
    <izvorni_sadrzaj>
      <item>Jugoslav Puran, Josipa Jelačića 12, 43000 Bjelovar</item>
    </izvorni_sadrzaj>
    <derivirana_varijabla naziv="DomainObject.Predmet.StrankaListFormatedWithAdress_1">
      <item>Jugoslav Puran, Josipa Jelačića 12, 43000 Bjelovar</item>
    </derivirana_varijabla>
  </DomainObject.Predmet.StrankaListFormatedWithAdress>
  <DomainObject.Predmet.StrankaListFormatedWithAdressOIB>
    <izvorni_sadrzaj>
      <item>Jugoslav Puran, OIB 70582689973, Josipa Jelačića 12, 43000 Bjelovar</item>
    </izvorni_sadrzaj>
    <derivirana_varijabla naziv="DomainObject.Predmet.StrankaListFormatedWithAdressOIB_1">
      <item>Jugoslav Puran, OIB 70582689973, Josipa Jelačića 12, 43000 Bjelovar</item>
    </derivirana_varijabla>
  </DomainObject.Predmet.StrankaListFormatedWithAdressOIB>
  <DomainObject.Predmet.StrankaListNazivFormated>
    <izvorni_sadrzaj>
      <item>Jugoslav Puran</item>
    </izvorni_sadrzaj>
    <derivirana_varijabla naziv="DomainObject.Predmet.StrankaListNazivFormated_1">
      <item>Jugoslav Puran</item>
    </derivirana_varijabla>
  </DomainObject.Predmet.StrankaListNazivFormated>
  <DomainObject.Predmet.StrankaListNazivFormatedOIB>
    <izvorni_sadrzaj>
      <item>Jugoslav Puran, OIB 70582689973</item>
    </izvorni_sadrzaj>
    <derivirana_varijabla naziv="DomainObject.Predmet.StrankaListNazivFormatedOIB_1">
      <item>Jugoslav Puran, OIB 70582689973</item>
    </derivirana_varijabla>
  </DomainObject.Predmet.StrankaListNazivFormatedOIB>
  <DomainObject.Predmet.ProtuStrankaListFormated>
    <izvorni_sadrzaj>
      <item>Stečajna masa iza PRO-GRAD d.o.o. za građenje, projektiranje, nadzor i prijevoz u stečaju</item>
    </izvorni_sadrzaj>
    <derivirana_varijabla naziv="DomainObject.Predmet.ProtuStrankaListFormated_1">
      <item>Stečajna masa iza PRO-GRAD d.o.o. za građenje, projektiranje, nadzor i prijevoz u stečaju</item>
    </derivirana_varijabla>
  </DomainObject.Predmet.ProtuStrankaListFormated>
  <DomainObject.Predmet.ProtuStrankaListFormatedOIB>
    <izvorni_sadrzaj>
      <item>Stečajna masa iza PRO-GRAD d.o.o. za građenje, projektiranje, nadzor i prijevoz u stečaju, OIB 22212899430</item>
    </izvorni_sadrzaj>
    <derivirana_varijabla naziv="DomainObject.Predmet.ProtuStrankaListFormatedOIB_1">
      <item>Stečajna masa iza PRO-GRAD d.o.o. za građenje, projektiranje, nadzor i prijevoz u stečaju, OIB 22212899430</item>
    </derivirana_varijabla>
  </DomainObject.Predmet.ProtuStrankaListFormatedOIB>
  <DomainObject.Predmet.ProtuStrankaListFormatedWithAdress>
    <izvorni_sadrzaj>
      <item>Stečajna masa iza PRO-GRAD d.o.o. za građenje, projektiranje, nadzor i prijevoz u stečaju, Josipa Jelačića 12, 43000 Bjelovar</item>
    </izvorni_sadrzaj>
    <derivirana_varijabla naziv="DomainObject.Predmet.ProtuStrankaListFormatedWithAdress_1">
      <item>Stečajna masa iza PRO-GRAD d.o.o. za građenje, projektiranje, nadzor i prijevoz u stečaju, Josipa Jelačića 12, 43000 Bjelovar</item>
    </derivirana_varijabla>
  </DomainObject.Predmet.ProtuStrankaListFormatedWithAdress>
  <DomainObject.Predmet.ProtuStrankaListFormatedWithAdressOIB>
    <izvorni_sadrzaj>
      <item>Stečajna masa iza PRO-GRAD d.o.o. za građenje, projektiranje, nadzor i prijevoz u stečaju, OIB 22212899430, Josipa Jelačića 12, 43000 Bjelovar</item>
    </izvorni_sadrzaj>
    <derivirana_varijabla naziv="DomainObject.Predmet.ProtuStrankaListFormatedWithAdressOIB_1">
      <item>Stečajna masa iza PRO-GRAD d.o.o. za građenje, projektiranje, nadzor i prijevoz u stečaju, OIB 22212899430, Josipa Jelačića 12, 43000 Bjelovar</item>
    </derivirana_varijabla>
  </DomainObject.Predmet.ProtuStrankaListFormatedWithAdressOIB>
  <DomainObject.Predmet.ProtuStrankaListNazivFormated>
    <izvorni_sadrzaj>
      <item>Stečajna masa iza PRO-GRAD d.o.o. za građenje, projektiranje, nadzor i prijevoz u stečaju</item>
    </izvorni_sadrzaj>
    <derivirana_varijabla naziv="DomainObject.Predmet.ProtuStrankaListNazivFormated_1">
      <item>Stečajna masa iza PRO-GRAD d.o.o. za građenje, projektiranje, nadzor i prijevoz u stečaju</item>
    </derivirana_varijabla>
  </DomainObject.Predmet.ProtuStrankaListNazivFormated>
  <DomainObject.Predmet.ProtuStrankaListNazivFormatedOIB>
    <izvorni_sadrzaj>
      <item>Stečajna masa iza PRO-GRAD d.o.o. za građenje, projektiranje, nadzor i prijevoz u stečaju, OIB 22212899430</item>
    </izvorni_sadrzaj>
    <derivirana_varijabla naziv="DomainObject.Predmet.ProtuStrankaListNazivFormatedOIB_1">
      <item>Stečajna masa iza PRO-GRAD d.o.o. za građenje, projektiranje, nadzor i prijevoz u stečaju, OIB 22212899430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St-769/2018-20</izvorni_sadrzaj>
    <derivirana_varijabla naziv="DomainObject.PoslovniBrojDokumenta_1">St-769/2018-20</derivirana_varijabla>
  </DomainObject.PoslovniBrojDokumenta>
  <DomainObject.Predmet.StrankaIDrugi>
    <izvorni_sadrzaj>Jugoslav Puran</izvorni_sadrzaj>
    <derivirana_varijabla naziv="DomainObject.Predmet.StrankaIDrugi_1">Jugoslav Puran</derivirana_varijabla>
  </DomainObject.Predmet.StrankaIDrugi>
  <DomainObject.Predmet.ProtustrankaIDrugi>
    <izvorni_sadrzaj>Stečajna masa iza PRO-GRAD d.o.o. za građenje, projektiranje, nadzor i prijevoz u stečaju</izvorni_sadrzaj>
    <derivirana_varijabla naziv="DomainObject.Predmet.ProtustrankaIDrugi_1">Stečajna masa iza PRO-GRAD d.o.o. za građenje, projektiranje, nadzor i prijevoz u stečaju</derivirana_varijabla>
  </DomainObject.Predmet.ProtustrankaIDrugi>
  <DomainObject.Predmet.StrankaIDrugiAdressOIB>
    <izvorni_sadrzaj>Jugoslav Puran, OIB 70582689973, Josipa Jelačića 12, 43000 Bjelovar</izvorni_sadrzaj>
    <derivirana_varijabla naziv="DomainObject.Predmet.StrankaIDrugiAdressOIB_1">Jugoslav Puran, OIB 70582689973, Josipa Jelačića 12, 43000 Bjelovar</derivirana_varijabla>
  </DomainObject.Predmet.StrankaIDrugiAdressOIB>
  <DomainObject.Predmet.ProtustrankaIDrugiAdressOIB>
    <izvorni_sadrzaj>Stečajna masa iza PRO-GRAD d.o.o. za građenje, projektiranje, nadzor i prijevoz u stečaju, OIB 22212899430, Josipa Jelačića 12, 43000 Bjelovar</izvorni_sadrzaj>
    <derivirana_varijabla naziv="DomainObject.Predmet.ProtustrankaIDrugiAdressOIB_1">Stečajna masa iza PRO-GRAD d.o.o. za građenje, projektiranje, nadzor i prijevoz u stečaju, OIB 22212899430,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Stečajna masa iza PRO-GRAD d.o.o. za građenje, projektiranje, nadzor i prijevoz u stečaju</item>
    </izvorni_sadrzaj>
    <derivirana_varijabla naziv="DomainObject.Predmet.SudioniciListNaziv_1">
      <item>Jugoslav Puran</item>
      <item>Stečajna masa iza PRO-GRAD d.o.o. za građenje, projektiranje, nadzor i prijevoz u stečaju</item>
    </derivirana_varijabla>
  </DomainObject.Predmet.SudioniciListNaziv>
  <DomainObject.Predmet.SudioniciListAdressOIB>
    <izvorni_sadrzaj>
      <item>Jugoslav Puran, OIB 70582689973, Josipa Jelačića 12,43000 Bjelovar</item>
      <item>Stečajna masa iza PRO-GRAD d.o.o. za građenje, projektiranje, nadzor i prijevoz u stečaju, OIB 22212899430, Josipa Jelačića 12,43000 Bjelovar</item>
    </izvorni_sadrzaj>
    <derivirana_varijabla naziv="DomainObject.Predmet.SudioniciListAdressOIB_1">
      <item>Jugoslav Puran, OIB 70582689973, Josipa Jelačića 12,43000 Bjelovar</item>
      <item>Stečajna masa iza PRO-GRAD d.o.o. za građenje, projektiranje, nadzor i prijevoz u stečaju, OIB 22212899430,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502E3-3EEB-4C10-90CF-ECA10CD85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1090</properties:Characters>
  <properties:Lines>47</properties:Lines>
  <properties:Paragraphs>20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2019-06-13T10:27:00Z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St-769/2018-20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