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e18cb" w14:paraId="b1e18c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C1925" w:rsidP="007C1925" w:rsidR="007C1925" w:rsidRPr="007C1925">
      <w:pPr>
        <w:spacing w:after="0"/>
        <w:ind w:firstLine="708"/>
        <w:jc w:val="both"/>
        <w:rPr>
          <w:rFonts w:cs="Times New Roman" w:eastAsia="Times New Roman"/>
          <w:lang w:eastAsia="hr-HR"/>
        </w:rPr>
      </w:pPr>
      <w:bookmarkStart w:name="_GoBack" w:id="0"/>
      <w:bookmarkEnd w:id="0"/>
      <w:r w:rsidRPr="007C1925">
        <w:rPr>
          <w:rFonts w:cs="Times New Roman" w:eastAsia="Times New Roman"/>
          <w:lang w:eastAsia="hr-HR"/>
        </w:rPr>
        <w:t xml:space="preserve">REPUBLIKA HRVATSKA </w:t>
      </w:r>
      <w:r w:rsidRPr="007C1925">
        <w:rPr>
          <w:rFonts w:cs="Times New Roman" w:eastAsia="Times New Roman"/>
          <w:lang w:eastAsia="hr-HR"/>
        </w:rPr>
        <w:tab/>
      </w:r>
      <w:r w:rsidRPr="007C1925">
        <w:rPr>
          <w:rFonts w:cs="Times New Roman" w:eastAsia="Times New Roman"/>
          <w:lang w:eastAsia="hr-HR"/>
        </w:rPr>
        <w:tab/>
      </w:r>
      <w:r w:rsidRPr="007C1925">
        <w:rPr>
          <w:rFonts w:cs="Times New Roman" w:eastAsia="Times New Roman"/>
          <w:lang w:eastAsia="hr-HR"/>
        </w:rPr>
        <w:tab/>
        <w:t xml:space="preserve">                 Poslovni broj 3. St-179/2017-7</w:t>
      </w:r>
    </w:p>
    <w:p w:rsidRDefault="007C1925" w:rsidP="007C1925" w:rsidR="007C1925" w:rsidRPr="007C1925">
      <w:pPr>
        <w:spacing w:after="0"/>
        <w:ind w:firstLine="708"/>
        <w:rPr>
          <w:rFonts w:cs="Times New Roman" w:eastAsia="Times New Roman"/>
          <w:lang w:eastAsia="hr-HR"/>
        </w:rPr>
      </w:pPr>
      <w:r w:rsidRPr="007C1925">
        <w:rPr>
          <w:rFonts w:cs="Times New Roman" w:eastAsia="Times New Roman"/>
          <w:lang w:eastAsia="hr-HR"/>
        </w:rPr>
        <w:t>TRGOVAČKI SUD U ZADRU</w:t>
      </w:r>
    </w:p>
    <w:p w:rsidRDefault="007C1925" w:rsidP="007C1925" w:rsidR="007C1925" w:rsidRPr="007C1925">
      <w:pPr>
        <w:spacing w:after="0"/>
        <w:ind w:firstLine="708"/>
        <w:rPr>
          <w:rFonts w:cs="Times New Roman" w:eastAsia="Times New Roman"/>
          <w:lang w:eastAsia="hr-HR"/>
        </w:rPr>
      </w:pPr>
      <w:r w:rsidRPr="007C1925">
        <w:rPr>
          <w:rFonts w:cs="Times New Roman" w:eastAsia="Times New Roman"/>
          <w:lang w:eastAsia="hr-HR"/>
        </w:rPr>
        <w:t xml:space="preserve">Zadar, Dr. Franje Tuđmana 35                                            </w:t>
      </w:r>
    </w:p>
    <w:p w:rsidRDefault="007C1925" w:rsidP="007C1925" w:rsidR="007C1925" w:rsidRPr="007C1925">
      <w:pPr>
        <w:spacing w:after="0"/>
        <w:jc w:val="center"/>
        <w:rPr>
          <w:rFonts w:cs="Times New Roman" w:eastAsia="Times New Roman"/>
          <w:lang w:eastAsia="hr-HR"/>
        </w:rPr>
      </w:pPr>
    </w:p>
    <w:p w:rsidRDefault="007C1925" w:rsidP="007C1925" w:rsidR="007C1925" w:rsidRPr="007C1925">
      <w:pPr>
        <w:spacing w:after="0"/>
        <w:jc w:val="center"/>
        <w:rPr>
          <w:rFonts w:cs="Times New Roman" w:eastAsia="Times New Roman"/>
          <w:lang w:eastAsia="hr-HR"/>
        </w:rPr>
      </w:pPr>
    </w:p>
    <w:p w:rsidRDefault="007C1925" w:rsidP="007C1925" w:rsidR="007C1925" w:rsidRPr="007C1925">
      <w:pPr>
        <w:spacing w:after="0"/>
        <w:jc w:val="center"/>
        <w:rPr>
          <w:rFonts w:cs="Times New Roman" w:eastAsia="Times New Roman"/>
          <w:lang w:eastAsia="hr-HR"/>
        </w:rPr>
      </w:pPr>
      <w:r w:rsidRPr="007C1925">
        <w:rPr>
          <w:rFonts w:cs="Times New Roman" w:eastAsia="Times New Roman"/>
          <w:lang w:eastAsia="hr-HR"/>
        </w:rPr>
        <w:t>R E P U B L I K A  H R V A T S K A</w:t>
      </w:r>
    </w:p>
    <w:p w:rsidRDefault="007C1925" w:rsidP="007C1925" w:rsidR="007C1925" w:rsidRPr="007C1925">
      <w:pPr>
        <w:spacing w:after="0"/>
        <w:jc w:val="center"/>
        <w:rPr>
          <w:rFonts w:cs="Times New Roman" w:eastAsia="Times New Roman"/>
          <w:lang w:eastAsia="hr-HR"/>
        </w:rPr>
      </w:pPr>
    </w:p>
    <w:p w:rsidRDefault="007C1925" w:rsidP="007C1925" w:rsidR="007C1925" w:rsidRPr="007C1925">
      <w:pPr>
        <w:spacing w:after="0"/>
        <w:jc w:val="center"/>
        <w:rPr>
          <w:rFonts w:cs="Times New Roman" w:eastAsia="Times New Roman"/>
          <w:lang w:eastAsia="hr-HR"/>
        </w:rPr>
      </w:pPr>
      <w:r w:rsidRPr="007C1925">
        <w:rPr>
          <w:rFonts w:cs="Times New Roman" w:eastAsia="Times New Roman"/>
          <w:lang w:eastAsia="hr-HR"/>
        </w:rPr>
        <w:t>R J E Š E NJ E</w:t>
      </w:r>
    </w:p>
    <w:p w:rsidRDefault="007C1925" w:rsidP="007C1925" w:rsidR="007C1925" w:rsidRPr="007C1925">
      <w:pPr>
        <w:spacing w:after="0"/>
        <w:jc w:val="center"/>
        <w:rPr>
          <w:rFonts w:cs="Times New Roman" w:eastAsia="Times New Roman"/>
          <w:lang w:eastAsia="hr-HR"/>
        </w:rPr>
      </w:pPr>
    </w:p>
    <w:p w:rsidRDefault="007C1925" w:rsidP="007C1925" w:rsidR="007C1925" w:rsidRPr="007C1925">
      <w:pPr>
        <w:spacing w:after="0"/>
        <w:ind w:firstLine="705"/>
        <w:jc w:val="both"/>
        <w:rPr>
          <w:rFonts w:cs="Times New Roman" w:eastAsia="Times New Roman"/>
          <w:lang w:eastAsia="hr-HR"/>
        </w:rPr>
      </w:pPr>
      <w:r w:rsidRPr="007C1925">
        <w:rPr>
          <w:rFonts w:cs="Times New Roman" w:eastAsia="Times New Roman"/>
          <w:lang w:eastAsia="hr-HR"/>
        </w:rPr>
        <w:t xml:space="preserve">Trgovački sud u Zadru, po sutkinji Tini Grgas, u stečajnom postupku nad stečajnim dužnikom Stečajna masa iza LJOKA PROJEKT d.o.o. u stečaju sa sjedištem u Zagrebu, Petrinjska 28, OIB: 29579702330, zastupanom po stečajnom upravitelju Ivanu </w:t>
      </w:r>
      <w:proofErr w:type="spellStart"/>
      <w:r w:rsidRPr="007C1925">
        <w:rPr>
          <w:rFonts w:cs="Times New Roman" w:eastAsia="Times New Roman"/>
          <w:lang w:eastAsia="hr-HR"/>
        </w:rPr>
        <w:t>Gjurašiću</w:t>
      </w:r>
      <w:proofErr w:type="spellEnd"/>
      <w:r w:rsidRPr="007C1925">
        <w:rPr>
          <w:rFonts w:cs="Times New Roman" w:eastAsia="Times New Roman"/>
          <w:lang w:eastAsia="hr-HR"/>
        </w:rPr>
        <w:t xml:space="preserve"> iz Zagreba, Petrinjska 28, na temelju sastavljene tablice suda o ispitanim tražbinama s ispitnog ročišta od 14. lipnja 2017.</w:t>
      </w:r>
    </w:p>
    <w:p w:rsidRDefault="007C1925" w:rsidP="007C1925" w:rsidR="007C1925" w:rsidRPr="007C1925">
      <w:pPr>
        <w:spacing w:after="0"/>
        <w:jc w:val="both"/>
        <w:rPr>
          <w:rFonts w:cs="Times New Roman" w:eastAsia="Times New Roman"/>
          <w:lang w:eastAsia="hr-HR"/>
        </w:rPr>
      </w:pPr>
    </w:p>
    <w:p w:rsidRDefault="007C1925" w:rsidP="007C1925" w:rsidR="007C1925" w:rsidRPr="007C1925">
      <w:pPr>
        <w:spacing w:after="0"/>
        <w:jc w:val="center"/>
        <w:rPr>
          <w:rFonts w:cs="Times New Roman" w:eastAsia="Times New Roman"/>
          <w:lang w:eastAsia="hr-HR"/>
        </w:rPr>
      </w:pPr>
      <w:r w:rsidRPr="007C1925">
        <w:rPr>
          <w:rFonts w:cs="Times New Roman" w:eastAsia="Times New Roman"/>
          <w:lang w:eastAsia="hr-HR"/>
        </w:rPr>
        <w:t>r i j e š i o  j e</w:t>
      </w:r>
    </w:p>
    <w:p w:rsidRDefault="007C1925" w:rsidP="007C1925" w:rsidR="007C1925" w:rsidRPr="007C1925">
      <w:pPr>
        <w:spacing w:lineRule="atLeast" w:line="240" w:after="0"/>
        <w:rPr>
          <w:rFonts w:cs="Times New Roman" w:eastAsia="Times New Roman"/>
          <w:lang w:eastAsia="hr-HR"/>
        </w:rPr>
      </w:pPr>
    </w:p>
    <w:p w:rsidRDefault="007C1925" w:rsidP="007C1925" w:rsidR="007C1925" w:rsidRPr="007C1925">
      <w:pPr>
        <w:spacing w:lineRule="atLeast" w:line="240" w:after="0"/>
        <w:ind w:firstLine="708"/>
        <w:rPr>
          <w:rFonts w:cs="Times New Roman" w:eastAsia="Times New Roman"/>
          <w:lang w:eastAsia="hr-HR"/>
        </w:rPr>
      </w:pPr>
      <w:r w:rsidRPr="007C1925">
        <w:rPr>
          <w:rFonts w:cs="Times New Roman" w:eastAsia="Times New Roman"/>
          <w:lang w:eastAsia="hr-HR"/>
        </w:rPr>
        <w:t xml:space="preserve">I. Utvrđuju se tražbine vjerovnika drugoga višega isplatnog reda: </w:t>
      </w:r>
    </w:p>
    <w:p w:rsidRDefault="007C1925" w:rsidP="007C1925" w:rsidR="007C1925" w:rsidRPr="007C1925">
      <w:pPr>
        <w:spacing w:lineRule="atLeast" w:line="240" w:after="0"/>
        <w:ind w:left="1428"/>
        <w:contextualSpacing/>
        <w:rPr>
          <w:rFonts w:cs="Times New Roman" w:eastAsia="Times New Roman"/>
          <w:lang w:eastAsia="hr-HR"/>
        </w:rPr>
      </w:pPr>
    </w:p>
    <w:tbl>
      <w:tblPr>
        <w:tblpPr w:tblpY="28" w:tblpX="1933" w:horzAnchor="page" w:vertAnchor="text" w:bottomFromText="200" w:rightFromText="180" w:leftFromText="180"/>
        <w:tblOverlap w:val="never"/>
        <w:tblW w:type="pct" w:w="482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14"/>
        <w:gridCol w:w="1735"/>
        <w:gridCol w:w="1647"/>
        <w:gridCol w:w="1683"/>
        <w:gridCol w:w="1596"/>
        <w:gridCol w:w="1596"/>
      </w:tblGrid>
      <w:tr w:rsidTr="007C1925" w:rsidR="007C1925" w:rsidRPr="007C1925">
        <w:trPr>
          <w:trHeight w:val="760"/>
        </w:trPr>
        <w:tc>
          <w:tcPr>
            <w:tcW w:type="pct" w:w="424"/>
            <w:tcBorders>
              <w:top w:space="0" w:sz="4" w:color="auto" w:val="single"/>
              <w:left w:space="0" w:sz="4" w:color="auto" w:val="single"/>
              <w:bottom w:space="0" w:sz="4" w:color="auto" w:val="single"/>
              <w:right w:space="0" w:sz="4" w:color="auto" w:val="single"/>
            </w:tcBorders>
            <w:vAlign w:val="center"/>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 xml:space="preserve">R.br. prij. </w:t>
            </w:r>
            <w:proofErr w:type="spellStart"/>
            <w:r w:rsidRPr="007C1925">
              <w:rPr>
                <w:rFonts w:cs="Times New Roman" w:eastAsia="Times New Roman"/>
              </w:rPr>
              <w:t>traž</w:t>
            </w:r>
            <w:proofErr w:type="spellEnd"/>
            <w:r w:rsidRPr="007C1925">
              <w:rPr>
                <w:rFonts w:cs="Times New Roman" w:eastAsia="Times New Roman"/>
              </w:rPr>
              <w:t>.</w:t>
            </w:r>
          </w:p>
        </w:tc>
        <w:tc>
          <w:tcPr>
            <w:tcW w:type="pct" w:w="993"/>
            <w:tcBorders>
              <w:top w:space="0" w:sz="4" w:color="auto" w:val="single"/>
              <w:left w:space="0" w:sz="4" w:color="auto" w:val="single"/>
              <w:bottom w:space="0" w:sz="4" w:color="auto" w:val="single"/>
              <w:right w:space="0" w:sz="4" w:color="auto" w:val="single"/>
            </w:tcBorders>
            <w:vAlign w:val="center"/>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Ime i prezime/tvrtka  ili naziv vjerovnika</w:t>
            </w:r>
          </w:p>
        </w:tc>
        <w:tc>
          <w:tcPr>
            <w:tcW w:type="pct" w:w="944"/>
            <w:tcBorders>
              <w:top w:space="0" w:sz="4" w:color="auto" w:val="single"/>
              <w:left w:space="0" w:sz="4" w:color="auto" w:val="single"/>
              <w:bottom w:space="0" w:sz="4" w:color="auto" w:val="single"/>
              <w:right w:space="0" w:sz="4" w:color="auto" w:val="single"/>
            </w:tcBorders>
            <w:vAlign w:val="center"/>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OIB vjerovnika</w:t>
            </w:r>
          </w:p>
        </w:tc>
        <w:tc>
          <w:tcPr>
            <w:tcW w:type="pct" w:w="906"/>
            <w:tcBorders>
              <w:top w:space="0" w:sz="4" w:color="auto" w:val="single"/>
              <w:left w:space="0" w:sz="4" w:color="auto" w:val="single"/>
              <w:bottom w:space="0" w:sz="4" w:color="auto" w:val="single"/>
              <w:right w:space="0" w:sz="4" w:color="auto" w:val="single"/>
            </w:tcBorders>
            <w:vAlign w:val="center"/>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Adresa/sjedište vjerovnika</w:t>
            </w:r>
          </w:p>
        </w:tc>
        <w:tc>
          <w:tcPr>
            <w:tcW w:type="pct" w:w="867"/>
            <w:tcBorders>
              <w:top w:space="0" w:sz="4" w:color="auto" w:val="single"/>
              <w:left w:space="0" w:sz="4" w:color="auto" w:val="single"/>
              <w:bottom w:space="0" w:sz="4" w:color="auto" w:val="single"/>
              <w:right w:space="0" w:sz="4" w:color="auto" w:val="single"/>
            </w:tcBorders>
            <w:hideMark/>
          </w:tcPr>
          <w:p w:rsidRDefault="007C1925" w:rsidP="007C1925" w:rsidR="007C1925" w:rsidRPr="007C1925">
            <w:pPr>
              <w:spacing w:lineRule="auto" w:line="276" w:after="0"/>
              <w:rPr>
                <w:rFonts w:cs="Times New Roman" w:eastAsia="Times New Roman"/>
              </w:rPr>
            </w:pPr>
            <w:r w:rsidRPr="007C1925">
              <w:rPr>
                <w:rFonts w:cs="Times New Roman" w:eastAsia="Times New Roman"/>
              </w:rPr>
              <w:t>Iznos prijavljene tražbine (kn)</w:t>
            </w:r>
          </w:p>
        </w:tc>
        <w:tc>
          <w:tcPr>
            <w:tcW w:type="pct" w:w="865"/>
            <w:tcBorders>
              <w:top w:space="0" w:sz="4" w:color="auto" w:val="single"/>
              <w:left w:space="0" w:sz="4" w:color="auto" w:val="single"/>
              <w:bottom w:space="0" w:sz="4" w:color="auto" w:val="single"/>
              <w:right w:space="0" w:sz="4" w:color="auto" w:val="single"/>
            </w:tcBorders>
            <w:vAlign w:val="center"/>
            <w:hideMark/>
          </w:tcPr>
          <w:p w:rsidRDefault="007C1925" w:rsidP="007C1925" w:rsidR="007C1925" w:rsidRPr="007C1925">
            <w:pPr>
              <w:spacing w:lineRule="auto" w:line="276" w:after="0"/>
              <w:rPr>
                <w:rFonts w:cs="Times New Roman" w:eastAsia="Times New Roman"/>
              </w:rPr>
            </w:pPr>
            <w:r w:rsidRPr="007C1925">
              <w:rPr>
                <w:rFonts w:cs="Times New Roman" w:eastAsia="Times New Roman"/>
              </w:rPr>
              <w:t>Iznos priznate tražbine</w:t>
            </w:r>
          </w:p>
          <w:p w:rsidRDefault="007C1925" w:rsidP="007C1925" w:rsidR="007C1925" w:rsidRPr="007C1925">
            <w:pPr>
              <w:spacing w:lineRule="auto" w:line="276" w:after="0"/>
              <w:rPr>
                <w:rFonts w:cs="Times New Roman" w:eastAsia="Times New Roman"/>
              </w:rPr>
            </w:pPr>
            <w:r w:rsidRPr="007C1925">
              <w:rPr>
                <w:rFonts w:cs="Times New Roman" w:eastAsia="Times New Roman"/>
              </w:rPr>
              <w:t>(kn)</w:t>
            </w:r>
          </w:p>
        </w:tc>
      </w:tr>
      <w:tr w:rsidTr="007C1925" w:rsidR="007C1925" w:rsidRPr="007C1925">
        <w:trPr>
          <w:trHeight w:val="892"/>
        </w:trPr>
        <w:tc>
          <w:tcPr>
            <w:tcW w:type="pct" w:w="424"/>
            <w:tcBorders>
              <w:top w:space="0" w:sz="4" w:color="auto" w:val="single"/>
              <w:left w:space="0" w:sz="4" w:color="auto" w:val="single"/>
              <w:bottom w:space="0" w:sz="4" w:color="auto" w:val="single"/>
              <w:right w:space="0" w:sz="4" w:color="auto" w:val="single"/>
            </w:tcBorders>
          </w:tcPr>
          <w:p w:rsidRDefault="007C1925" w:rsidP="007C1925" w:rsidR="007C1925" w:rsidRPr="007C1925">
            <w:pPr>
              <w:spacing w:lineRule="auto" w:line="276" w:after="80"/>
              <w:rPr>
                <w:rFonts w:cs="Times New Roman" w:eastAsia="Times New Roman"/>
              </w:rPr>
            </w:pPr>
          </w:p>
          <w:p w:rsidRDefault="007C1925" w:rsidP="007C1925" w:rsidR="007C1925" w:rsidRPr="007C1925">
            <w:pPr>
              <w:spacing w:lineRule="auto" w:line="276" w:after="80"/>
              <w:rPr>
                <w:rFonts w:cs="Times New Roman" w:eastAsia="Times New Roman"/>
              </w:rPr>
            </w:pPr>
            <w:r w:rsidRPr="007C1925">
              <w:rPr>
                <w:rFonts w:cs="Times New Roman" w:eastAsia="Times New Roman"/>
              </w:rPr>
              <w:t>1.</w:t>
            </w:r>
          </w:p>
        </w:tc>
        <w:tc>
          <w:tcPr>
            <w:tcW w:type="pct" w:w="993"/>
            <w:tcBorders>
              <w:top w:space="0" w:sz="4" w:color="auto" w:val="single"/>
              <w:left w:space="0" w:sz="4" w:color="auto" w:val="single"/>
              <w:bottom w:space="0" w:sz="4" w:color="auto" w:val="single"/>
              <w:right w:space="0" w:sz="4" w:color="auto" w:val="single"/>
            </w:tcBorders>
            <w:hideMark/>
          </w:tcPr>
          <w:p w:rsidRDefault="007C1925" w:rsidP="007C1925" w:rsidR="007C1925" w:rsidRPr="007C1925">
            <w:pPr>
              <w:spacing w:lineRule="auto" w:line="276" w:after="0"/>
              <w:rPr>
                <w:rFonts w:cs="Times New Roman" w:eastAsia="Times New Roman"/>
              </w:rPr>
            </w:pPr>
            <w:r w:rsidRPr="007C1925">
              <w:rPr>
                <w:rFonts w:cs="Times New Roman" w:eastAsia="Times New Roman"/>
              </w:rPr>
              <w:t>RH, MF, Područni ured Dalmacija</w:t>
            </w:r>
          </w:p>
        </w:tc>
        <w:tc>
          <w:tcPr>
            <w:tcW w:type="pct" w:w="944"/>
            <w:tcBorders>
              <w:top w:space="0" w:sz="4" w:color="auto" w:val="single"/>
              <w:left w:space="0" w:sz="4" w:color="auto" w:val="single"/>
              <w:bottom w:space="0" w:sz="4" w:color="auto" w:val="single"/>
              <w:right w:space="0" w:sz="4" w:color="auto" w:val="single"/>
            </w:tcBorders>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52634238587</w:t>
            </w:r>
          </w:p>
        </w:tc>
        <w:tc>
          <w:tcPr>
            <w:tcW w:type="pct" w:w="906"/>
            <w:tcBorders>
              <w:top w:space="0" w:sz="4" w:color="auto" w:val="single"/>
              <w:left w:space="0" w:sz="4" w:color="auto" w:val="single"/>
              <w:bottom w:space="0" w:sz="4" w:color="auto" w:val="single"/>
              <w:right w:space="0" w:sz="4" w:color="auto" w:val="single"/>
            </w:tcBorders>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Ante Starčevića 9, Zadar</w:t>
            </w:r>
          </w:p>
        </w:tc>
        <w:tc>
          <w:tcPr>
            <w:tcW w:type="pct" w:w="867"/>
            <w:tcBorders>
              <w:top w:space="0" w:sz="4" w:color="auto" w:val="single"/>
              <w:left w:space="0" w:sz="4" w:color="auto" w:val="single"/>
              <w:bottom w:space="0" w:sz="4" w:color="auto" w:val="single"/>
              <w:right w:space="0" w:sz="4" w:color="auto" w:val="single"/>
            </w:tcBorders>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4.565,59 kn</w:t>
            </w:r>
          </w:p>
        </w:tc>
        <w:tc>
          <w:tcPr>
            <w:tcW w:type="pct" w:w="865"/>
            <w:tcBorders>
              <w:top w:space="0" w:sz="4" w:color="auto" w:val="single"/>
              <w:left w:space="0" w:sz="4" w:color="auto" w:val="single"/>
              <w:bottom w:space="0" w:sz="4" w:color="auto" w:val="single"/>
              <w:right w:space="0" w:sz="4" w:color="auto" w:val="single"/>
            </w:tcBorders>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4.565,59 kn</w:t>
            </w:r>
          </w:p>
        </w:tc>
      </w:tr>
      <w:tr w:rsidTr="007C1925" w:rsidR="007C1925" w:rsidRPr="007C1925">
        <w:trPr>
          <w:trHeight w:val="892"/>
        </w:trPr>
        <w:tc>
          <w:tcPr>
            <w:tcW w:type="pct" w:w="424"/>
            <w:tcBorders>
              <w:top w:space="0" w:sz="4" w:color="auto" w:val="single"/>
              <w:left w:space="0" w:sz="4" w:color="auto" w:val="single"/>
              <w:bottom w:space="0" w:sz="4" w:color="auto" w:val="single"/>
              <w:right w:space="0" w:sz="4" w:color="auto" w:val="single"/>
            </w:tcBorders>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 xml:space="preserve">2. </w:t>
            </w:r>
          </w:p>
        </w:tc>
        <w:tc>
          <w:tcPr>
            <w:tcW w:type="pct" w:w="993"/>
            <w:tcBorders>
              <w:top w:space="0" w:sz="4" w:color="auto" w:val="single"/>
              <w:left w:space="0" w:sz="4" w:color="auto" w:val="single"/>
              <w:bottom w:space="0" w:sz="4" w:color="auto" w:val="single"/>
              <w:right w:space="0" w:sz="4" w:color="auto" w:val="single"/>
            </w:tcBorders>
            <w:hideMark/>
          </w:tcPr>
          <w:p w:rsidRDefault="007C1925" w:rsidP="007C1925" w:rsidR="007C1925" w:rsidRPr="007C1925">
            <w:pPr>
              <w:spacing w:lineRule="auto" w:line="276" w:after="0"/>
              <w:rPr>
                <w:rFonts w:cs="Times New Roman" w:eastAsia="Times New Roman"/>
              </w:rPr>
            </w:pPr>
            <w:r w:rsidRPr="007C1925">
              <w:rPr>
                <w:rFonts w:cs="Times New Roman" w:eastAsia="Times New Roman"/>
              </w:rPr>
              <w:t>Nova kreditna banka Maribor</w:t>
            </w:r>
          </w:p>
        </w:tc>
        <w:tc>
          <w:tcPr>
            <w:tcW w:type="pct" w:w="944"/>
            <w:tcBorders>
              <w:top w:space="0" w:sz="4" w:color="auto" w:val="single"/>
              <w:left w:space="0" w:sz="4" w:color="auto" w:val="single"/>
              <w:bottom w:space="0" w:sz="4" w:color="auto" w:val="single"/>
              <w:right w:space="0" w:sz="4" w:color="auto" w:val="single"/>
            </w:tcBorders>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58602216763</w:t>
            </w:r>
          </w:p>
        </w:tc>
        <w:tc>
          <w:tcPr>
            <w:tcW w:type="pct" w:w="906"/>
            <w:tcBorders>
              <w:top w:space="0" w:sz="4" w:color="auto" w:val="single"/>
              <w:left w:space="0" w:sz="4" w:color="auto" w:val="single"/>
              <w:bottom w:space="0" w:sz="4" w:color="auto" w:val="single"/>
              <w:right w:space="0" w:sz="4" w:color="auto" w:val="single"/>
            </w:tcBorders>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 xml:space="preserve">Ul. Vita </w:t>
            </w:r>
            <w:proofErr w:type="spellStart"/>
            <w:r w:rsidRPr="007C1925">
              <w:rPr>
                <w:rFonts w:cs="Times New Roman" w:eastAsia="Times New Roman"/>
              </w:rPr>
              <w:t>Kraigherja</w:t>
            </w:r>
            <w:proofErr w:type="spellEnd"/>
            <w:r w:rsidRPr="007C1925">
              <w:rPr>
                <w:rFonts w:cs="Times New Roman" w:eastAsia="Times New Roman"/>
              </w:rPr>
              <w:t xml:space="preserve"> 4, Slovenija</w:t>
            </w:r>
          </w:p>
        </w:tc>
        <w:tc>
          <w:tcPr>
            <w:tcW w:type="pct" w:w="867"/>
            <w:tcBorders>
              <w:top w:space="0" w:sz="4" w:color="auto" w:val="single"/>
              <w:left w:space="0" w:sz="4" w:color="auto" w:val="single"/>
              <w:bottom w:space="0" w:sz="4" w:color="auto" w:val="single"/>
              <w:right w:space="0" w:sz="4" w:color="auto" w:val="single"/>
            </w:tcBorders>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53.959.246,52 kn</w:t>
            </w:r>
          </w:p>
        </w:tc>
        <w:tc>
          <w:tcPr>
            <w:tcW w:type="pct" w:w="865"/>
            <w:tcBorders>
              <w:top w:space="0" w:sz="4" w:color="auto" w:val="single"/>
              <w:left w:space="0" w:sz="4" w:color="auto" w:val="single"/>
              <w:bottom w:space="0" w:sz="4" w:color="auto" w:val="single"/>
              <w:right w:space="0" w:sz="4" w:color="auto" w:val="single"/>
            </w:tcBorders>
            <w:hideMark/>
          </w:tcPr>
          <w:p w:rsidRDefault="007C1925" w:rsidP="007C1925" w:rsidR="007C1925" w:rsidRPr="007C1925">
            <w:pPr>
              <w:spacing w:lineRule="auto" w:line="276" w:after="80"/>
              <w:rPr>
                <w:rFonts w:cs="Times New Roman" w:eastAsia="Times New Roman"/>
              </w:rPr>
            </w:pPr>
            <w:r w:rsidRPr="007C1925">
              <w:rPr>
                <w:rFonts w:cs="Times New Roman" w:eastAsia="Times New Roman"/>
              </w:rPr>
              <w:t>53.959.246,52 kn</w:t>
            </w:r>
          </w:p>
        </w:tc>
      </w:tr>
    </w:tbl>
    <w:p w:rsidRDefault="007C1925" w:rsidP="007C1925" w:rsidR="007C1925" w:rsidRPr="007C1925">
      <w:pPr>
        <w:spacing w:lineRule="atLeast" w:line="240" w:after="0"/>
        <w:jc w:val="both"/>
        <w:rPr>
          <w:rFonts w:cs="Times New Roman" w:eastAsia="Times New Roman"/>
          <w:lang w:eastAsia="hr-HR"/>
        </w:rPr>
      </w:pPr>
    </w:p>
    <w:p w:rsidRDefault="007C1925" w:rsidP="007C1925" w:rsidR="007C1925" w:rsidRPr="007C1925">
      <w:pPr>
        <w:spacing w:lineRule="atLeast" w:line="240" w:after="0"/>
        <w:ind w:firstLine="708"/>
        <w:jc w:val="both"/>
        <w:rPr>
          <w:rFonts w:cs="Times New Roman" w:eastAsia="Times New Roman"/>
          <w:lang w:eastAsia="hr-HR"/>
        </w:rPr>
      </w:pPr>
    </w:p>
    <w:p w:rsidRDefault="007C1925" w:rsidP="007C1925" w:rsidR="007C1925" w:rsidRPr="007C1925">
      <w:pPr>
        <w:spacing w:lineRule="atLeast" w:line="240" w:after="0"/>
        <w:ind w:firstLine="708"/>
        <w:jc w:val="both"/>
        <w:rPr>
          <w:rFonts w:cs="Times New Roman" w:eastAsia="Times New Roman"/>
          <w:lang w:eastAsia="hr-HR"/>
        </w:rPr>
      </w:pPr>
      <w:r w:rsidRPr="007C1925">
        <w:rPr>
          <w:rFonts w:cs="Times New Roman" w:eastAsia="Times New Roman"/>
          <w:lang w:eastAsia="hr-HR"/>
        </w:rPr>
        <w:t>II. Ovo rješenje će se objaviti na mrežnoj stranici e-Oglasna ploča sudova.</w:t>
      </w:r>
    </w:p>
    <w:p w:rsidRDefault="007C1925" w:rsidP="007C1925" w:rsidR="007C1925" w:rsidRPr="007C1925">
      <w:pPr>
        <w:spacing w:lineRule="atLeast" w:line="240" w:after="0"/>
        <w:rPr>
          <w:rFonts w:cs="Times New Roman" w:eastAsia="Times New Roman"/>
          <w:lang w:eastAsia="hr-HR"/>
        </w:rPr>
      </w:pPr>
    </w:p>
    <w:p w:rsidRDefault="007C1925" w:rsidP="007C1925" w:rsidR="007C1925" w:rsidRPr="007C1925">
      <w:pPr>
        <w:spacing w:lineRule="atLeast" w:line="240" w:after="0"/>
        <w:jc w:val="center"/>
        <w:rPr>
          <w:rFonts w:cs="Times New Roman" w:eastAsia="Times New Roman"/>
          <w:lang w:eastAsia="hr-HR"/>
        </w:rPr>
      </w:pPr>
      <w:r w:rsidRPr="007C1925">
        <w:rPr>
          <w:rFonts w:cs="Times New Roman" w:eastAsia="Times New Roman"/>
          <w:lang w:eastAsia="hr-HR"/>
        </w:rPr>
        <w:t>Obrazloženje</w:t>
      </w:r>
    </w:p>
    <w:p w:rsidRDefault="007C1925" w:rsidP="007C1925" w:rsidR="007C1925" w:rsidRPr="007C1925">
      <w:pPr>
        <w:spacing w:lineRule="atLeast" w:line="240" w:after="0"/>
        <w:jc w:val="center"/>
        <w:rPr>
          <w:rFonts w:cs="Times New Roman" w:eastAsia="Times New Roman"/>
          <w:lang w:eastAsia="hr-HR"/>
        </w:rPr>
      </w:pPr>
    </w:p>
    <w:p w:rsidRDefault="007C1925" w:rsidP="007C1925" w:rsidR="007C1925" w:rsidRPr="007C1925">
      <w:pPr>
        <w:spacing w:lineRule="atLeast" w:line="240" w:after="0"/>
        <w:ind w:firstLine="708"/>
        <w:jc w:val="both"/>
        <w:rPr>
          <w:rFonts w:cs="Times New Roman" w:eastAsia="Times New Roman"/>
          <w:lang w:eastAsia="hr-HR"/>
        </w:rPr>
      </w:pPr>
      <w:r w:rsidRPr="007C1925">
        <w:rPr>
          <w:rFonts w:cs="Times New Roman" w:eastAsia="Times New Roman"/>
          <w:lang w:eastAsia="hr-HR"/>
        </w:rPr>
        <w:t xml:space="preserve">Rješenjem ovog suda poslovni broj gornji od 25. travnja 2017. otvoren je stečajni postupak nad uvodno označenim stečajnim dužnikom te je zakazano ispitno ročište za 14. lipnja 2017. na koje su pozvani vjerovnici i stečajni upravitelj dužnika. </w:t>
      </w:r>
    </w:p>
    <w:p w:rsidRDefault="007C1925" w:rsidP="007C1925" w:rsidR="007C1925" w:rsidRPr="007C1925">
      <w:pPr>
        <w:spacing w:lineRule="atLeast" w:line="240" w:after="0"/>
        <w:ind w:firstLine="708"/>
        <w:jc w:val="both"/>
        <w:rPr>
          <w:rFonts w:cs="Times New Roman" w:eastAsia="Times New Roman"/>
          <w:lang w:eastAsia="hr-HR"/>
        </w:rPr>
      </w:pPr>
      <w:r w:rsidRPr="007C1925">
        <w:rPr>
          <w:rFonts w:cs="Times New Roman" w:eastAsia="Times New Roman"/>
          <w:lang w:eastAsia="hr-HR"/>
        </w:rPr>
        <w:t xml:space="preserve">Na ispitnom ročištu ispitane su tražbine vjerovnika pobliže označene u točki I. izreke ovog rješenja po svom iznosu i isplatnom redu. </w:t>
      </w:r>
    </w:p>
    <w:p w:rsidRDefault="007C1925" w:rsidP="007C1925" w:rsidR="007C1925" w:rsidRPr="007C1925">
      <w:pPr>
        <w:spacing w:lineRule="atLeast" w:line="240" w:after="0"/>
        <w:ind w:firstLine="708"/>
        <w:jc w:val="both"/>
        <w:rPr>
          <w:rFonts w:cs="Times New Roman" w:eastAsia="Times New Roman"/>
          <w:lang w:eastAsia="hr-HR"/>
        </w:rPr>
      </w:pPr>
      <w:r w:rsidRPr="007C1925">
        <w:rPr>
          <w:rFonts w:cs="Times New Roman" w:eastAsia="Times New Roman"/>
          <w:lang w:eastAsia="hr-HR"/>
        </w:rPr>
        <w:lastRenderedPageBreak/>
        <w:t xml:space="preserve">S obzirom da je stečajni upravitelj dužnika na ispitnom ročištu priznao navedene tražbine iz točke I. izreke ovog rješenja iste se smatraju utvrđenima u smislu odredbe čl. 263. Stečajnog zakona (Narodne novine broj 71/15, u nastavku teksta: SZ). </w:t>
      </w:r>
    </w:p>
    <w:p w:rsidRDefault="007C1925" w:rsidP="007C1925" w:rsidR="007C1925" w:rsidRPr="007C1925">
      <w:pPr>
        <w:spacing w:lineRule="atLeast" w:line="240" w:after="0"/>
        <w:ind w:firstLine="708"/>
        <w:jc w:val="both"/>
        <w:rPr>
          <w:rFonts w:cs="Times New Roman" w:eastAsia="Times New Roman"/>
          <w:lang w:eastAsia="hr-HR"/>
        </w:rPr>
      </w:pPr>
      <w:r w:rsidRPr="007C1925">
        <w:rPr>
          <w:rFonts w:cs="Times New Roman" w:eastAsia="Times New Roman"/>
          <w:lang w:eastAsia="hr-HR"/>
        </w:rPr>
        <w:t xml:space="preserve">Slijedom svega navedenog, a postupajući sukladno odredbi čl. 264. SZ-a, ovaj sud je sastavio tablicu ispitanih tražbina u koju je za prijavljene tražbine unio podatke u kojoj su mjeri utvrđene prema svom iznosu i redu, zbog čega je temeljem odredbi čl. 263., čl. 265. st. 1. i 2.,  čl. 266. i čl. 267. SZ-a, donesena odluka kao u izreci ovog rješenja. </w:t>
      </w:r>
    </w:p>
    <w:p w:rsidRDefault="007C1925" w:rsidP="007C1925" w:rsidR="007C1925" w:rsidRPr="007C1925">
      <w:pPr>
        <w:spacing w:lineRule="atLeast" w:line="240" w:after="0"/>
        <w:jc w:val="center"/>
        <w:rPr>
          <w:rFonts w:cs="Times New Roman" w:eastAsia="Times New Roman"/>
          <w:lang w:eastAsia="hr-HR"/>
        </w:rPr>
      </w:pPr>
    </w:p>
    <w:p w:rsidRDefault="007C1925" w:rsidP="007C1925" w:rsidR="007C1925" w:rsidRPr="007C1925">
      <w:pPr>
        <w:spacing w:lineRule="atLeast" w:line="240" w:after="0"/>
        <w:jc w:val="center"/>
        <w:rPr>
          <w:rFonts w:cs="Times New Roman" w:eastAsia="Times New Roman"/>
          <w:lang w:eastAsia="hr-HR"/>
        </w:rPr>
      </w:pPr>
    </w:p>
    <w:p w:rsidRDefault="007C1925" w:rsidP="007C1925" w:rsidR="007C1925" w:rsidRPr="007C1925">
      <w:pPr>
        <w:spacing w:lineRule="atLeast" w:line="240" w:after="0"/>
        <w:jc w:val="center"/>
        <w:rPr>
          <w:rFonts w:cs="Times New Roman" w:eastAsia="Times New Roman"/>
          <w:lang w:eastAsia="hr-HR"/>
        </w:rPr>
      </w:pPr>
      <w:r w:rsidRPr="007C1925">
        <w:rPr>
          <w:rFonts w:cs="Times New Roman" w:eastAsia="Times New Roman"/>
          <w:lang w:eastAsia="hr-HR"/>
        </w:rPr>
        <w:t xml:space="preserve">U Zadru 14. lipnja 2017. </w:t>
      </w:r>
    </w:p>
    <w:p w:rsidRDefault="007C1925" w:rsidP="007C1925" w:rsidR="007C1925" w:rsidRPr="007C1925">
      <w:pPr>
        <w:spacing w:lineRule="atLeast" w:line="240" w:after="0"/>
        <w:jc w:val="center"/>
        <w:rPr>
          <w:rFonts w:cs="Times New Roman" w:eastAsia="Times New Roman"/>
          <w:lang w:eastAsia="hr-HR"/>
        </w:rPr>
      </w:pPr>
    </w:p>
    <w:p w:rsidRDefault="007C1925" w:rsidP="007C1925" w:rsidR="007C1925" w:rsidRPr="007C1925">
      <w:pPr>
        <w:spacing w:lineRule="atLeast" w:line="240" w:after="0"/>
        <w:ind w:firstLine="708"/>
        <w:jc w:val="right"/>
        <w:rPr>
          <w:rFonts w:cs="Times New Roman" w:eastAsia="Times New Roman"/>
          <w:lang w:eastAsia="hr-HR"/>
        </w:rPr>
      </w:pPr>
      <w:r w:rsidRPr="007C1925">
        <w:rPr>
          <w:rFonts w:cs="Times New Roman" w:eastAsia="Times New Roman"/>
          <w:lang w:eastAsia="hr-HR"/>
        </w:rPr>
        <w:t xml:space="preserve">                                         Sutkinja</w:t>
      </w:r>
    </w:p>
    <w:p w:rsidRDefault="007C1925" w:rsidP="007C1925" w:rsidR="007C1925" w:rsidRPr="007C1925">
      <w:pPr>
        <w:spacing w:lineRule="atLeast" w:line="240" w:after="0"/>
        <w:ind w:firstLine="708"/>
        <w:jc w:val="right"/>
        <w:rPr>
          <w:rFonts w:cs="Times New Roman" w:eastAsia="Times New Roman"/>
          <w:lang w:eastAsia="hr-HR"/>
        </w:rPr>
      </w:pPr>
      <w:r w:rsidRPr="007C1925">
        <w:rPr>
          <w:rFonts w:cs="Times New Roman" w:eastAsia="Times New Roman"/>
          <w:lang w:eastAsia="hr-HR"/>
        </w:rPr>
        <w:t>Tina Grgas</w:t>
      </w:r>
    </w:p>
    <w:p w:rsidRDefault="007C1925" w:rsidP="007C1925" w:rsidR="007C1925" w:rsidRPr="007C1925">
      <w:pPr>
        <w:spacing w:lineRule="atLeast" w:line="240" w:after="0"/>
        <w:jc w:val="center"/>
        <w:rPr>
          <w:rFonts w:cs="Times New Roman" w:eastAsia="Times New Roman"/>
          <w:lang w:eastAsia="hr-HR"/>
        </w:rPr>
      </w:pPr>
    </w:p>
    <w:p w:rsidRDefault="007C1925" w:rsidP="007C1925" w:rsidR="007C1925" w:rsidRPr="007C1925">
      <w:pPr>
        <w:spacing w:lineRule="atLeast" w:line="240" w:after="0"/>
        <w:jc w:val="center"/>
        <w:rPr>
          <w:rFonts w:cs="Times New Roman" w:eastAsia="Times New Roman"/>
          <w:lang w:eastAsia="hr-HR"/>
        </w:rPr>
      </w:pPr>
    </w:p>
    <w:p w:rsidRDefault="007C1925" w:rsidP="007C1925" w:rsidR="007C1925" w:rsidRPr="007C1925">
      <w:pPr>
        <w:spacing w:lineRule="atLeast" w:line="240" w:after="0"/>
        <w:ind w:firstLine="708"/>
        <w:rPr>
          <w:rFonts w:cs="Times New Roman" w:eastAsia="Times New Roman"/>
          <w:lang w:eastAsia="hr-HR"/>
        </w:rPr>
      </w:pPr>
      <w:r w:rsidRPr="007C1925">
        <w:rPr>
          <w:rFonts w:cs="Times New Roman" w:eastAsia="Times New Roman"/>
          <w:lang w:eastAsia="hr-HR"/>
        </w:rPr>
        <w:t xml:space="preserve">UPUTA O PRAVNOM LIJEKU: </w:t>
      </w:r>
    </w:p>
    <w:p w:rsidRDefault="007C1925" w:rsidP="007C1925" w:rsidR="007C1925" w:rsidRPr="007C1925">
      <w:pPr>
        <w:tabs>
          <w:tab w:pos="0" w:val="left"/>
        </w:tabs>
        <w:spacing w:after="0"/>
        <w:jc w:val="both"/>
        <w:rPr>
          <w:rFonts w:cs="Times New Roman" w:eastAsia="Times New Roman"/>
          <w:lang w:eastAsia="hr-HR"/>
        </w:rPr>
      </w:pPr>
      <w:r w:rsidRPr="007C1925">
        <w:rPr>
          <w:rFonts w:cs="Times New Roman" w:eastAsia="Times New Roman"/>
          <w:bCs/>
          <w:lang w:eastAsia="hr-HR"/>
        </w:rPr>
        <w:tab/>
      </w:r>
      <w:r w:rsidRPr="007C1925">
        <w:rPr>
          <w:rFonts w:cs="Times New Roman" w:eastAsia="Times New Roman"/>
          <w:lang w:eastAsia="hr-HR"/>
        </w:rPr>
        <w:t xml:space="preserve">Protiv ovog rješenja pravo na žalbu ima svaki vjerovnik u dijelu koji se tiče njegove prijavljene tražbine, odnosno tražbine koju je osporila stečajna upraviteljica. Žalba se izjavljuje u roku od 8 dana od dostave ovog rješenja, a dostava se smatra obavljenom istekom osmog dana od dana objave istog na mrežnoj stranici e-Oglasna ploča sudova (čl. 12. st. 1. i čl. 19. st. 1. i 2. SZ-a).  Žalba se podnosi ovom sudu u tri istovjetna primjerka, a o istoj odlučuje Visoki trgovački sud Republike Hrvatske u Zagrebu. </w:t>
      </w:r>
    </w:p>
    <w:p w:rsidRDefault="007C1925" w:rsidP="007C1925" w:rsidR="007C1925" w:rsidRPr="007C1925">
      <w:pPr>
        <w:spacing w:lineRule="atLeast" w:line="240" w:after="0"/>
        <w:ind w:firstLine="708"/>
        <w:rPr>
          <w:rFonts w:cs="Times New Roman" w:eastAsia="Times New Roman"/>
          <w:lang w:eastAsia="hr-HR"/>
        </w:rPr>
      </w:pPr>
    </w:p>
    <w:p w:rsidRDefault="007C1925" w:rsidP="007C1925" w:rsidR="007C1925" w:rsidRPr="007C1925">
      <w:pPr>
        <w:spacing w:lineRule="atLeast" w:line="240" w:after="0"/>
        <w:ind w:firstLine="708"/>
        <w:rPr>
          <w:rFonts w:cs="Times New Roman" w:eastAsia="Times New Roman"/>
          <w:lang w:eastAsia="hr-HR"/>
        </w:rPr>
      </w:pPr>
      <w:r w:rsidRPr="007C1925">
        <w:rPr>
          <w:rFonts w:cs="Times New Roman" w:eastAsia="Times New Roman"/>
          <w:lang w:eastAsia="hr-HR"/>
        </w:rPr>
        <w:t>Dostaviti:</w:t>
      </w:r>
    </w:p>
    <w:p w:rsidRDefault="007C1925" w:rsidP="007C1925" w:rsidR="007C1925" w:rsidRPr="007C1925">
      <w:pPr>
        <w:spacing w:lineRule="atLeast" w:line="240" w:after="0"/>
        <w:ind w:firstLine="708"/>
        <w:rPr>
          <w:rFonts w:cs="Times New Roman" w:eastAsia="Times New Roman"/>
          <w:lang w:eastAsia="hr-HR"/>
        </w:rPr>
      </w:pPr>
      <w:r w:rsidRPr="007C1925">
        <w:rPr>
          <w:rFonts w:cs="Times New Roman" w:eastAsia="Times New Roman"/>
          <w:lang w:eastAsia="hr-HR"/>
        </w:rPr>
        <w:t xml:space="preserve">E-oglasna ploča suda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1925"/>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45617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St-179/2017-9</izvorni_sadrzaj>
    <derivirana_varijabla naziv="DomainObject.Oznaka_1">St-179/2017-9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2017.</izvorni_sadrzaj>
    <derivirana_varijabla naziv="DomainObject.Predmet.DatumOsnivanja_1">24.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St-179/2017</izvorni_sadrzaj>
    <derivirana_varijabla naziv="DomainObject.Predmet.OznakaBroj_1">St-179/2017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LJOKA PROJEKT d.o.o. za gradnju, nekretnine i trgovinu</izvorni_sadrzaj>
    <derivirana_varijabla naziv="DomainObject.Predmet.ProtustrankaFormated_1">  LJOKA PROJEKT d.o.o. za gradnju, nekretnine i trgovinu</derivirana_varijabla>
  </DomainObject.Predmet.ProtustrankaFormated>
  <DomainObject.Predmet.ProtustrankaFormatedOIB>
    <izvorni_sadrzaj>  LJOKA PROJEKT d.o.o. za gradnju, nekretnine i trgovinu, OIB 36218135263</izvorni_sadrzaj>
    <derivirana_varijabla naziv="DomainObject.Predmet.ProtustrankaFormatedOIB_1">  LJOKA PROJEKT d.o.o. za gradnju, nekretnine i trgovinu, OIB 36218135263</derivirana_varijabla>
  </DomainObject.Predmet.ProtustrankaFormatedOIB>
  <DomainObject.Predmet.ProtustrankaFormatedWithAdress>
    <izvorni_sadrzaj> LJOKA PROJEKT d.o.o. za gradnju, nekretnine i trgovinu, Ivana Viteza od Sredne 11, 23000 Zadar</izvorni_sadrzaj>
    <derivirana_varijabla naziv="DomainObject.Predmet.ProtustrankaFormatedWithAdress_1"> LJOKA PROJEKT d.o.o. za gradnju, nekretnine i trgovinu, Ivana Viteza od Sredne 11, 23000 Zadar</derivirana_varijabla>
  </DomainObject.Predmet.ProtustrankaFormatedWithAdress>
  <DomainObject.Predmet.ProtustrankaFormatedWithAdressOIB>
    <izvorni_sadrzaj> LJOKA PROJEKT d.o.o. za gradnju, nekretnine i trgovinu, OIB 36218135263, Ivana Viteza od Sredne 11, 23000 Zadar</izvorni_sadrzaj>
    <derivirana_varijabla naziv="DomainObject.Predmet.ProtustrankaFormatedWithAdressOIB_1"> LJOKA PROJEKT d.o.o. za gradnju, nekretnine i trgovinu, OIB 36218135263, Ivana Viteza od Sredne 11, 23000 Zadar</derivirana_varijabla>
  </DomainObject.Predmet.ProtustrankaFormatedWithAdressOIB>
  <DomainObject.Predmet.ProtustrankaWithAdress>
    <izvorni_sadrzaj>LJOKA PROJEKT d.o.o. za gradnju, nekretnine i trgovinu Ivana Viteza od Sredne 11, 23000 Zadar</izvorni_sadrzaj>
    <derivirana_varijabla naziv="DomainObject.Predmet.ProtustrankaWithAdress_1">LJOKA PROJEKT d.o.o. za gradnju, nekretnine i trgovinu Ivana Viteza od Sredne 11, 23000 Zadar</derivirana_varijabla>
  </DomainObject.Predmet.ProtustrankaWithAdress>
  <DomainObject.Predmet.ProtustrankaWithAdressOIB>
    <izvorni_sadrzaj>LJOKA PROJEKT d.o.o. za gradnju, nekretnine i trgovinu, OIB 36218135263, Ivana Viteza od Sredne 11, 23000 Zadar</izvorni_sadrzaj>
    <derivirana_varijabla naziv="DomainObject.Predmet.ProtustrankaWithAdressOIB_1">LJOKA PROJEKT d.o.o. za gradnju, nekretnine i trgovinu, OIB 36218135263, Ivana Viteza od Sredne 11, 23000 Zadar</derivirana_varijabla>
  </DomainObject.Predmet.ProtustrankaWithAdressOIB>
  <DomainObject.Predmet.ProtustrankaNazivFormated>
    <izvorni_sadrzaj>LJOKA PROJEKT d.o.o. za gradnju, nekretnine i trgovinu</izvorni_sadrzaj>
    <derivirana_varijabla naziv="DomainObject.Predmet.ProtustrankaNazivFormated_1">LJOKA PROJEKT d.o.o. za gradnju, nekretnine i trgovinu</derivirana_varijabla>
  </DomainObject.Predmet.ProtustrankaNazivFormated>
  <DomainObject.Predmet.ProtustrankaNazivFormatedOIB>
    <izvorni_sadrzaj>LJOKA PROJEKT d.o.o. za gradnju, nekretnine i trgovinu, OIB 36218135263</izvorni_sadrzaj>
    <derivirana_varijabla naziv="DomainObject.Predmet.ProtustrankaNazivFormatedOIB_1">LJOKA PROJEKT d.o.o. za gradnju, nekretnine i trgovinu, OIB 36218135263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LJOKA PROJEKT d.o.o. za gradnju, nekretnine i trgovinu</item>
    </izvorni_sadrzaj>
    <derivirana_varijabla naziv="DomainObject.Predmet.ProtuStrankaListFormated_1">
      <item>LJOKA PROJEKT d.o.o. za gradnju, nekretnine i trgovinu</item>
    </derivirana_varijabla>
  </DomainObject.Predmet.ProtuStrankaListFormated>
  <DomainObject.Predmet.ProtuStrankaListFormatedOIB>
    <izvorni_sadrzaj>
      <item>LJOKA PROJEKT d.o.o. za gradnju, nekretnine i trgovinu, OIB 36218135263</item>
    </izvorni_sadrzaj>
    <derivirana_varijabla naziv="DomainObject.Predmet.ProtuStrankaListFormatedOIB_1">
      <item>LJOKA PROJEKT d.o.o. za gradnju, nekretnine i trgovinu, OIB 36218135263</item>
    </derivirana_varijabla>
  </DomainObject.Predmet.ProtuStrankaListFormatedOIB>
  <DomainObject.Predmet.ProtuStrankaListFormatedWithAdress>
    <izvorni_sadrzaj>
      <item>LJOKA PROJEKT d.o.o. za gradnju, nekretnine i trgovinu, Ivana Viteza od Sredne 11, 23000 Zadar</item>
    </izvorni_sadrzaj>
    <derivirana_varijabla naziv="DomainObject.Predmet.ProtuStrankaListFormatedWithAdress_1">
      <item>LJOKA PROJEKT d.o.o. za gradnju, nekretnine i trgovinu, Ivana Viteza od Sredne 11, 23000 Zadar</item>
    </derivirana_varijabla>
  </DomainObject.Predmet.ProtuStrankaListFormatedWithAdress>
  <DomainObject.Predmet.ProtuStrankaListFormatedWithAdressOIB>
    <izvorni_sadrzaj>
      <item>LJOKA PROJEKT d.o.o. za gradnju, nekretnine i trgovinu, OIB 36218135263, Ivana Viteza od Sredne 11, 23000 Zadar</item>
    </izvorni_sadrzaj>
    <derivirana_varijabla naziv="DomainObject.Predmet.ProtuStrankaListFormatedWithAdressOIB_1">
      <item>LJOKA PROJEKT d.o.o. za gradnju, nekretnine i trgovinu, OIB 36218135263, Ivana Viteza od Sredne 11, 23000 Zadar</item>
    </derivirana_varijabla>
  </DomainObject.Predmet.ProtuStrankaListFormatedWithAdressOIB>
  <DomainObject.Predmet.ProtuStrankaListNazivFormated>
    <izvorni_sadrzaj>
      <item>LJOKA PROJEKT d.o.o. za gradnju, nekretnine i trgovinu</item>
    </izvorni_sadrzaj>
    <derivirana_varijabla naziv="DomainObject.Predmet.ProtuStrankaListNazivFormated_1">
      <item>LJOKA PROJEKT d.o.o. za gradnju, nekretnine i trgovinu</item>
    </derivirana_varijabla>
  </DomainObject.Predmet.ProtuStrankaListNazivFormated>
  <DomainObject.Predmet.ProtuStrankaListNazivFormatedOIB>
    <izvorni_sadrzaj>
      <item>LJOKA PROJEKT d.o.o. za gradnju, nekretnine i trgovinu, OIB 36218135263</item>
    </izvorni_sadrzaj>
    <derivirana_varijabla naziv="DomainObject.Predmet.ProtuStrankaListNazivFormatedOIB_1">
      <item>LJOKA PROJEKT d.o.o. za gradnju, nekretnine i trgovinu, OIB 36218135263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St-179/2017-9</izvorni_sadrzaj>
    <derivirana_varijabla naziv="DomainObject.PoslovniBrojDokumenta_1">St-179/2017-9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LJOKA PROJEKT d.o.o. za gradnju, nekretnine i trgovinu</izvorni_sadrzaj>
    <derivirana_varijabla naziv="DomainObject.Predmet.ProtustrankaIDrugi_1">LJOKA PROJEKT d.o.o. za gradnju, nekretnine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LJOKA PROJEKT d.o.o. za gradnju, nekretnine i trgovinu, OIB 36218135263, Ivana Viteza od Sredne 11, 23000 Zadar</izvorni_sadrzaj>
    <derivirana_varijabla naziv="DomainObject.Predmet.ProtustrankaIDrugiAdressOIB_1">LJOKA PROJEKT d.o.o. za gradnju, nekretnine i trgovinu, OIB 36218135263, Ivana Viteza od Sredne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LJOKA PROJEKT d.o.o. za gradnju, nekretnine i trgovinu</item>
      <item>FINA</item>
    </izvorni_sadrzaj>
    <derivirana_varijabla naziv="DomainObject.Predmet.SudioniciListNaziv_1">
      <item>LJOKA PROJEKT d.o.o. za gradnju, nekretnine i trgovinu</item>
      <item>FINA</item>
    </derivirana_varijabla>
  </DomainObject.Predmet.SudioniciListNaziv>
  <DomainObject.Predmet.SudioniciListAdressOIB>
    <izvorni_sadrzaj>
      <item>LJOKA PROJEKT d.o.o. za gradnju, nekretnine i trgovinu, OIB 36218135263, Ivana Viteza od Sredne 11,23000 Zadar</item>
      <item>FINA, OIB 85821130368</item>
    </izvorni_sadrzaj>
    <derivirana_varijabla naziv="DomainObject.Predmet.SudioniciListAdressOIB_1">
      <item>LJOKA PROJEKT d.o.o. za gradnju, nekretnine i trgovinu, OIB 36218135263, Ivana Viteza od Sredne 11,23000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B26BE5-2148-4F62-80F7-DE25326EFC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2219</properties:Characters>
  <properties:Lines>96</properties:Lines>
  <properties:Paragraphs>40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2017-06-20T07:41:00Z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St-179/2017-9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