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b230" w14:paraId="f79b230" w:rsidRDefault="0006527F" w:rsidP="0006527F" w:rsidR="0006527F" w:rsidRPr="00024CC6">
      <w:pPr>
        <w:jc w:val="both"/>
        <w15:collapsed w:val="false"/>
      </w:pPr>
      <w:bookmarkStart w:name="_GoBack" w:id="0"/>
      <w:bookmarkEnd w:id="0"/>
      <w:r w:rsidRPr="00024CC6">
        <w:t xml:space="preserve">                   </w:t>
      </w:r>
      <w:r w:rsidRPr="00024CC6">
        <w:rPr>
          <w:noProof/>
        </w:rPr>
        <w:drawing>
          <wp:inline distR="0" distL="0" distB="0" distT="0">
            <wp:extent cy="709295" cx="556260"/>
            <wp:effectExtent b="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56260"/>
                    </a:xfrm>
                    <a:prstGeom prst="rect">
                      <a:avLst/>
                    </a:prstGeom>
                    <a:noFill/>
                    <a:ln>
                      <a:noFill/>
                    </a:ln>
                  </pic:spPr>
                </pic:pic>
              </a:graphicData>
            </a:graphic>
          </wp:inline>
        </w:drawing>
      </w:r>
      <w:r w:rsidRPr="00024CC6">
        <w:t xml:space="preserve">                                                           </w:t>
      </w:r>
    </w:p>
    <w:p w:rsidRDefault="0006527F" w:rsidP="0006527F" w:rsidR="0006527F" w:rsidRPr="00024CC6">
      <w:r w:rsidRPr="00024CC6">
        <w:t xml:space="preserve">    REPUBLIKA HRVATSKA</w:t>
      </w:r>
    </w:p>
    <w:p w:rsidRDefault="0006527F" w:rsidP="0006527F" w:rsidR="0006527F" w:rsidRPr="00024CC6">
      <w:r w:rsidRPr="00024CC6">
        <w:t xml:space="preserve">  TRGOVAČKI SUD U </w:t>
      </w:r>
      <w:r w:rsidR="00476D74" w:rsidRPr="00024CC6">
        <w:t xml:space="preserve">PAZINU   </w:t>
      </w:r>
      <w:r w:rsidRPr="00024CC6">
        <w:tab/>
      </w:r>
      <w:r w:rsidRPr="00024CC6">
        <w:tab/>
      </w:r>
      <w:r w:rsidRPr="00024CC6">
        <w:tab/>
      </w:r>
      <w:r w:rsidRPr="00024CC6">
        <w:tab/>
      </w:r>
      <w:r w:rsidRPr="00024CC6">
        <w:tab/>
      </w:r>
    </w:p>
    <w:p w:rsidRDefault="0006527F" w:rsidP="0006527F" w:rsidR="0006527F" w:rsidRPr="00024CC6">
      <w:pPr>
        <w:jc w:val="center"/>
      </w:pPr>
    </w:p>
    <w:p w:rsidRDefault="0006527F" w:rsidP="0006527F" w:rsidR="0006527F" w:rsidRPr="00024CC6">
      <w:pPr>
        <w:jc w:val="center"/>
      </w:pPr>
    </w:p>
    <w:p w:rsidRDefault="0006527F" w:rsidP="0006527F" w:rsidR="0006527F" w:rsidRPr="00024CC6">
      <w:pPr>
        <w:ind w:right="512"/>
        <w:jc w:val="center"/>
      </w:pPr>
      <w:r w:rsidRPr="00024CC6">
        <w:t xml:space="preserve">        R E P U B L I K A  H R V A T S K A</w:t>
      </w:r>
    </w:p>
    <w:p w:rsidRDefault="0006527F" w:rsidP="0006527F" w:rsidR="0006527F" w:rsidRPr="00024CC6">
      <w:pPr>
        <w:ind w:right="512"/>
        <w:jc w:val="center"/>
      </w:pPr>
    </w:p>
    <w:p w:rsidRDefault="0006527F" w:rsidP="0006527F" w:rsidR="0006527F" w:rsidRPr="00024CC6">
      <w:pPr>
        <w:ind w:right="512"/>
        <w:jc w:val="center"/>
      </w:pPr>
      <w:r w:rsidRPr="00024CC6">
        <w:t xml:space="preserve">      R J E Š E N J E</w:t>
      </w:r>
    </w:p>
    <w:p w:rsidRDefault="0006527F" w:rsidP="0006527F" w:rsidR="0006527F" w:rsidRPr="00024CC6">
      <w:pPr>
        <w:jc w:val="center"/>
      </w:pPr>
    </w:p>
    <w:p w:rsidRDefault="0006527F" w:rsidP="0006527F" w:rsidR="0006527F" w:rsidRPr="00024CC6">
      <w:pPr>
        <w:ind w:firstLine="708"/>
        <w:jc w:val="both"/>
      </w:pPr>
      <w:r w:rsidRPr="00024CC6">
        <w:t xml:space="preserve">Trgovački sud u Pazinu, po stečajnom sucu </w:t>
      </w:r>
      <w:r w:rsidR="008363A0" w:rsidRPr="00024CC6">
        <w:t>Damiru Rabaru</w:t>
      </w:r>
      <w:r w:rsidRPr="00024CC6">
        <w:t xml:space="preserve">, u stečajnom postupku nad dužnikom </w:t>
      </w:r>
      <w:r w:rsidR="00575316" w:rsidRPr="00024CC6">
        <w:t>IR.ZA</w:t>
      </w:r>
      <w:r w:rsidR="008363A0" w:rsidRPr="00024CC6">
        <w:t xml:space="preserve"> d.</w:t>
      </w:r>
      <w:r w:rsidR="00575316" w:rsidRPr="00024CC6">
        <w:t xml:space="preserve">o.o. </w:t>
      </w:r>
      <w:r w:rsidR="008363A0" w:rsidRPr="00024CC6">
        <w:t xml:space="preserve">u stečaju, </w:t>
      </w:r>
      <w:r w:rsidR="00575316" w:rsidRPr="00024CC6">
        <w:t>Labin</w:t>
      </w:r>
      <w:r w:rsidR="008363A0" w:rsidRPr="00024CC6">
        <w:t xml:space="preserve">, </w:t>
      </w:r>
      <w:r w:rsidR="00575316" w:rsidRPr="00024CC6">
        <w:t xml:space="preserve">Rudarska </w:t>
      </w:r>
      <w:r w:rsidR="008363A0" w:rsidRPr="00024CC6">
        <w:t xml:space="preserve">5, OIB: </w:t>
      </w:r>
      <w:r w:rsidR="007644FF">
        <w:t>29682048894</w:t>
      </w:r>
      <w:r w:rsidRPr="00024CC6">
        <w:t xml:space="preserve">, dana </w:t>
      </w:r>
      <w:r w:rsidR="00575316" w:rsidRPr="00024CC6">
        <w:t>8</w:t>
      </w:r>
      <w:r w:rsidRPr="00024CC6">
        <w:t xml:space="preserve">. </w:t>
      </w:r>
      <w:r w:rsidR="00575316" w:rsidRPr="00024CC6">
        <w:t xml:space="preserve">studenog </w:t>
      </w:r>
      <w:r w:rsidRPr="00024CC6">
        <w:t>201</w:t>
      </w:r>
      <w:r w:rsidR="008363A0" w:rsidRPr="00024CC6">
        <w:t>6</w:t>
      </w:r>
      <w:r w:rsidRPr="00024CC6">
        <w:t xml:space="preserve">. godine </w:t>
      </w:r>
    </w:p>
    <w:p w:rsidRDefault="0006527F" w:rsidP="0006527F" w:rsidR="0006527F" w:rsidRPr="00024CC6">
      <w:pPr>
        <w:ind w:firstLine="708"/>
        <w:jc w:val="both"/>
      </w:pPr>
    </w:p>
    <w:p w:rsidRDefault="0006527F" w:rsidP="0006527F" w:rsidR="0006527F" w:rsidRPr="00024CC6">
      <w:pPr>
        <w:jc w:val="center"/>
      </w:pPr>
      <w:r w:rsidRPr="00024CC6">
        <w:t>r i j e š i o  j e</w:t>
      </w:r>
    </w:p>
    <w:p w:rsidRDefault="0006527F" w:rsidP="0006527F" w:rsidR="0006527F" w:rsidRPr="00024CC6"/>
    <w:p w:rsidRDefault="0006527F" w:rsidP="0006527F" w:rsidR="0006527F" w:rsidRPr="00024CC6">
      <w:pPr>
        <w:jc w:val="both"/>
      </w:pPr>
      <w:r w:rsidRPr="00024CC6">
        <w:tab/>
        <w:t xml:space="preserve">I. Stečajnom upravitelju </w:t>
      </w:r>
      <w:r w:rsidR="00575316" w:rsidRPr="00024CC6">
        <w:t>Vlasti Majstorović</w:t>
      </w:r>
      <w:r w:rsidRPr="00024CC6">
        <w:t xml:space="preserve"> iz P</w:t>
      </w:r>
      <w:r w:rsidR="00575316" w:rsidRPr="00024CC6">
        <w:t>ule</w:t>
      </w:r>
      <w:r w:rsidRPr="00024CC6">
        <w:t xml:space="preserve">, </w:t>
      </w:r>
      <w:r w:rsidR="00575316" w:rsidRPr="00024CC6">
        <w:t>Koparska 37</w:t>
      </w:r>
      <w:r w:rsidRPr="00024CC6">
        <w:t xml:space="preserve">, OIB: </w:t>
      </w:r>
      <w:r w:rsidR="00575316" w:rsidRPr="00024CC6">
        <w:t>78258328195</w:t>
      </w:r>
      <w:r w:rsidRPr="00024CC6">
        <w:t>, određuje se konačna nagrada za rad u stečajnom postupku u razdoblju d</w:t>
      </w:r>
      <w:r w:rsidR="000A5BA9" w:rsidRPr="00024CC6">
        <w:t>o</w:t>
      </w:r>
      <w:r w:rsidRPr="00024CC6">
        <w:t xml:space="preserve"> </w:t>
      </w:r>
      <w:r w:rsidR="00362AEA" w:rsidRPr="00024CC6">
        <w:t>9</w:t>
      </w:r>
      <w:r w:rsidR="00D50BCB" w:rsidRPr="00024CC6">
        <w:t>. listopada 2015.</w:t>
      </w:r>
      <w:r w:rsidRPr="00024CC6">
        <w:t xml:space="preserve">, u iznosu od </w:t>
      </w:r>
      <w:r w:rsidR="00362AEA" w:rsidRPr="00024CC6">
        <w:rPr>
          <w:rFonts w:eastAsia="Arial Unicode MS"/>
        </w:rPr>
        <w:t xml:space="preserve">20.320,23  </w:t>
      </w:r>
      <w:r w:rsidRPr="00024CC6">
        <w:t>kn neto.</w:t>
      </w:r>
    </w:p>
    <w:p w:rsidRDefault="00362AEA" w:rsidP="0006527F" w:rsidR="00362AEA" w:rsidRPr="00024CC6">
      <w:pPr>
        <w:jc w:val="both"/>
      </w:pPr>
    </w:p>
    <w:p w:rsidRDefault="0006527F" w:rsidP="0006527F" w:rsidR="0006527F" w:rsidRPr="00024CC6">
      <w:pPr>
        <w:jc w:val="both"/>
      </w:pPr>
      <w:r w:rsidRPr="00024CC6">
        <w:tab/>
        <w:t xml:space="preserve">II. Stečajnom upravitelju </w:t>
      </w:r>
      <w:r w:rsidR="00322B0D" w:rsidRPr="00024CC6">
        <w:t>Vlasti Majstorović iz Pule, Koparska 37, OIB: 78258328195,</w:t>
      </w:r>
      <w:r w:rsidRPr="00024CC6">
        <w:t xml:space="preserve"> određuje se konačna nagrada za rad u stečajnom postupku u razdoblju </w:t>
      </w:r>
      <w:r w:rsidR="00D50BCB" w:rsidRPr="00024CC6">
        <w:t>nakon</w:t>
      </w:r>
      <w:r w:rsidRPr="00024CC6">
        <w:t xml:space="preserve"> </w:t>
      </w:r>
      <w:r w:rsidR="00362AEA" w:rsidRPr="00024CC6">
        <w:t>9</w:t>
      </w:r>
      <w:r w:rsidR="00D50BCB" w:rsidRPr="00024CC6">
        <w:t xml:space="preserve">. listopada 2015. </w:t>
      </w:r>
      <w:r w:rsidRPr="00024CC6">
        <w:t xml:space="preserve">u iznosu od </w:t>
      </w:r>
      <w:r w:rsidR="00BD5D1C" w:rsidRPr="00024CC6">
        <w:rPr>
          <w:color w:val="000000"/>
        </w:rPr>
        <w:t xml:space="preserve">210.037,21 </w:t>
      </w:r>
      <w:r w:rsidRPr="00024CC6">
        <w:t>kn brutto.</w:t>
      </w:r>
    </w:p>
    <w:p w:rsidRDefault="00322B0D" w:rsidP="0006527F" w:rsidR="00322B0D" w:rsidRPr="00024CC6"/>
    <w:p w:rsidRDefault="0006527F" w:rsidP="0006527F" w:rsidR="0006527F" w:rsidRPr="00024CC6"/>
    <w:p w:rsidRDefault="0006527F" w:rsidP="0006527F" w:rsidR="0006527F" w:rsidRPr="00024CC6">
      <w:pPr>
        <w:jc w:val="center"/>
      </w:pPr>
      <w:r w:rsidRPr="00024CC6">
        <w:t>Obrazloženje</w:t>
      </w:r>
    </w:p>
    <w:p w:rsidRDefault="0006527F" w:rsidP="0006527F" w:rsidR="0006527F" w:rsidRPr="00024CC6"/>
    <w:p w:rsidRDefault="0006527F" w:rsidP="0006527F" w:rsidR="0006527F" w:rsidRPr="00024CC6">
      <w:pPr>
        <w:jc w:val="both"/>
      </w:pPr>
      <w:r w:rsidRPr="00024CC6">
        <w:tab/>
        <w:t xml:space="preserve">Člankom </w:t>
      </w:r>
      <w:smartTag w:element="metricconverter" w:uri="urn:schemas-microsoft-com:office:smarttags">
        <w:smartTagPr>
          <w:attr w:val="29. st" w:name="ProductID"/>
        </w:smartTagPr>
        <w:r w:rsidRPr="00024CC6">
          <w:t>29. st</w:t>
        </w:r>
      </w:smartTag>
      <w:r w:rsidRPr="00024CC6">
        <w:t>. 1. i 2. Stečajnog zakona (NN 44/96, 29/99, 129/00, 123/00, 82/06, 116/10, 25/12 i 133/12) propisano je da stečajni upravitelj ima pravo na nagradu za svoj rad koju rješenjem određuje stečajni sudac.</w:t>
      </w:r>
    </w:p>
    <w:p w:rsidRDefault="0006527F" w:rsidP="0006527F" w:rsidR="0006527F" w:rsidRPr="00024CC6">
      <w:pPr>
        <w:jc w:val="both"/>
      </w:pPr>
    </w:p>
    <w:p w:rsidRDefault="00C74D7C" w:rsidP="008541B7" w:rsidR="00593D1B" w:rsidRPr="00024CC6">
      <w:pPr>
        <w:jc w:val="both"/>
        <w:rPr>
          <w:bCs w:val="false"/>
          <w:color w:val="000000"/>
        </w:rPr>
      </w:pPr>
      <w:r w:rsidRPr="00024CC6">
        <w:tab/>
        <w:t xml:space="preserve">Nagradu stečajnom upravitelju valjalo je </w:t>
      </w:r>
      <w:r w:rsidR="00593D1B" w:rsidRPr="00024CC6">
        <w:t xml:space="preserve">za razdoblje do </w:t>
      </w:r>
      <w:r w:rsidR="00322B0D" w:rsidRPr="00024CC6">
        <w:t>9</w:t>
      </w:r>
      <w:r w:rsidR="008541B7" w:rsidRPr="00024CC6">
        <w:t>. listopada 2015.</w:t>
      </w:r>
      <w:r w:rsidR="00593D1B" w:rsidRPr="00024CC6">
        <w:t xml:space="preserve"> </w:t>
      </w:r>
      <w:r w:rsidRPr="00024CC6">
        <w:t xml:space="preserve">odrediti prema odredbama </w:t>
      </w:r>
      <w:r w:rsidR="00593D1B" w:rsidRPr="00024CC6">
        <w:t xml:space="preserve">Uredbe o kriterijima i načinu obračuna i plaćanja nagrada stečajnim upraviteljima (NN 189/03), a za kasnije razdoblje prema odredbama </w:t>
      </w:r>
      <w:r w:rsidR="008541B7" w:rsidRPr="00024CC6">
        <w:t>U</w:t>
      </w:r>
      <w:r w:rsidR="008541B7" w:rsidRPr="00024CC6">
        <w:rPr>
          <w:bCs w:val="false"/>
          <w:color w:val="000000"/>
        </w:rPr>
        <w:t>redbe o kriterijima i načinu obračuna i plaćanja nagrade stečajnim upraviteljima (NN 105/15).</w:t>
      </w:r>
    </w:p>
    <w:p w:rsidRDefault="00C74D7C" w:rsidP="0006527F" w:rsidR="00C74D7C" w:rsidRPr="00024CC6">
      <w:pPr>
        <w:jc w:val="both"/>
      </w:pPr>
    </w:p>
    <w:p w:rsidRDefault="0006527F" w:rsidP="0006527F" w:rsidR="0006527F" w:rsidRPr="00024CC6">
      <w:pPr>
        <w:jc w:val="both"/>
      </w:pPr>
      <w:r w:rsidRPr="00024CC6">
        <w:tab/>
        <w:t xml:space="preserve">U konkretnom slučaju stečajni je sudac utvrdio da je imovina stečajnog dužnika </w:t>
      </w:r>
      <w:r w:rsidR="00B16117" w:rsidRPr="00024CC6">
        <w:t>u</w:t>
      </w:r>
      <w:r w:rsidR="0066387E" w:rsidRPr="00024CC6">
        <w:t xml:space="preserve"> razdoblj</w:t>
      </w:r>
      <w:r w:rsidR="00B16117" w:rsidRPr="00024CC6">
        <w:t>u</w:t>
      </w:r>
      <w:r w:rsidR="0066387E" w:rsidRPr="00024CC6">
        <w:t xml:space="preserve"> do </w:t>
      </w:r>
      <w:r w:rsidR="00322B0D" w:rsidRPr="00024CC6">
        <w:t>9</w:t>
      </w:r>
      <w:r w:rsidR="0066387E" w:rsidRPr="00024CC6">
        <w:t>. listopada 2015</w:t>
      </w:r>
      <w:r w:rsidR="00CB2805" w:rsidRPr="00024CC6">
        <w:t>.</w:t>
      </w:r>
      <w:r w:rsidR="0066387E" w:rsidRPr="00024CC6">
        <w:t xml:space="preserve"> </w:t>
      </w:r>
      <w:r w:rsidRPr="00024CC6">
        <w:t xml:space="preserve">unovčena u vrijednosti od </w:t>
      </w:r>
      <w:r w:rsidRPr="00024CC6">
        <w:rPr>
          <w:bCs w:val="false"/>
        </w:rPr>
        <w:t xml:space="preserve"> </w:t>
      </w:r>
      <w:r w:rsidR="00322B0D" w:rsidRPr="00024CC6">
        <w:rPr>
          <w:rFonts w:eastAsia="Arial Unicode MS"/>
        </w:rPr>
        <w:t>203.202,34</w:t>
      </w:r>
      <w:r w:rsidR="0066387E" w:rsidRPr="00024CC6">
        <w:rPr>
          <w:rFonts w:eastAsia="Arial Unicode MS"/>
        </w:rPr>
        <w:t xml:space="preserve"> </w:t>
      </w:r>
      <w:r w:rsidRPr="00024CC6">
        <w:rPr>
          <w:rFonts w:eastAsia="Arial Unicode MS"/>
        </w:rPr>
        <w:t xml:space="preserve"> kn</w:t>
      </w:r>
      <w:r w:rsidRPr="00024CC6">
        <w:t xml:space="preserve">, pa je na temelju čl. </w:t>
      </w:r>
      <w:smartTag w:element="metricconverter" w:uri="urn:schemas-microsoft-com:office:smarttags">
        <w:smartTagPr>
          <w:attr w:val="4. st" w:name="ProductID"/>
        </w:smartTagPr>
        <w:r w:rsidRPr="00024CC6">
          <w:t>4. st</w:t>
        </w:r>
      </w:smartTag>
      <w:r w:rsidRPr="00024CC6">
        <w:t xml:space="preserve">. 1. Uredbe o kriterijima i načinu obračuna i plaćanja nagrada stečajnim upraviteljima (NN 189/03), stečajnom upravitelju odredio nagradu u iznosu od  </w:t>
      </w:r>
      <w:r w:rsidR="00476D74" w:rsidRPr="00024CC6">
        <w:rPr>
          <w:rFonts w:eastAsia="Arial Unicode MS"/>
        </w:rPr>
        <w:t xml:space="preserve">20.320,23  </w:t>
      </w:r>
      <w:r w:rsidRPr="00024CC6">
        <w:t xml:space="preserve">kn neto, koji iznos predstavlja </w:t>
      </w:r>
      <w:r w:rsidR="00476D74" w:rsidRPr="00024CC6">
        <w:t xml:space="preserve">10 </w:t>
      </w:r>
      <w:r w:rsidRPr="00024CC6">
        <w:t xml:space="preserve">% vrijednosti unovčene stečajne mase. </w:t>
      </w:r>
    </w:p>
    <w:p w:rsidRDefault="0066387E" w:rsidP="0006527F" w:rsidR="0066387E" w:rsidRPr="00024CC6">
      <w:pPr>
        <w:jc w:val="both"/>
      </w:pPr>
    </w:p>
    <w:p w:rsidRDefault="0066387E" w:rsidP="0006527F" w:rsidR="0066387E" w:rsidRPr="00024CC6">
      <w:pPr>
        <w:jc w:val="both"/>
      </w:pPr>
      <w:r w:rsidRPr="00024CC6">
        <w:tab/>
        <w:t xml:space="preserve">Nadalje, imovina stečajnog dužnika </w:t>
      </w:r>
      <w:r w:rsidR="00B16117" w:rsidRPr="00024CC6">
        <w:t>u</w:t>
      </w:r>
      <w:r w:rsidRPr="00024CC6">
        <w:t xml:space="preserve"> razdoblj</w:t>
      </w:r>
      <w:r w:rsidR="00B16117" w:rsidRPr="00024CC6">
        <w:t>u</w:t>
      </w:r>
      <w:r w:rsidRPr="00024CC6">
        <w:t xml:space="preserve"> nakon </w:t>
      </w:r>
      <w:r w:rsidR="00322B0D" w:rsidRPr="00024CC6">
        <w:t>9</w:t>
      </w:r>
      <w:r w:rsidRPr="00024CC6">
        <w:t>. listopada 2015</w:t>
      </w:r>
      <w:r w:rsidR="00D50BCB" w:rsidRPr="00024CC6">
        <w:t>.</w:t>
      </w:r>
      <w:r w:rsidRPr="00024CC6">
        <w:t xml:space="preserve"> unovčena u vrijednosti od </w:t>
      </w:r>
      <w:r w:rsidRPr="00024CC6">
        <w:rPr>
          <w:bCs w:val="false"/>
        </w:rPr>
        <w:t xml:space="preserve"> </w:t>
      </w:r>
      <w:r w:rsidR="00322B0D" w:rsidRPr="00024CC6">
        <w:rPr>
          <w:bCs w:val="false"/>
        </w:rPr>
        <w:t>2.571.960,17</w:t>
      </w:r>
      <w:r w:rsidR="007644FF">
        <w:rPr>
          <w:rFonts w:eastAsia="Arial Unicode MS"/>
        </w:rPr>
        <w:t xml:space="preserve"> </w:t>
      </w:r>
      <w:r w:rsidRPr="00024CC6">
        <w:rPr>
          <w:rFonts w:eastAsia="Arial Unicode MS"/>
        </w:rPr>
        <w:t>kn</w:t>
      </w:r>
      <w:r w:rsidRPr="00024CC6">
        <w:t>, pa je na temelju čl</w:t>
      </w:r>
      <w:r w:rsidR="00B16117" w:rsidRPr="00024CC6">
        <w:t>. 7.</w:t>
      </w:r>
      <w:r w:rsidRPr="00024CC6">
        <w:t xml:space="preserve"> Uredbe o kriterijima i načinu obračuna i plaćanja nagrada stečajnim upraviteljima (NN </w:t>
      </w:r>
      <w:r w:rsidRPr="00024CC6">
        <w:rPr>
          <w:bCs w:val="false"/>
          <w:color w:val="000000"/>
        </w:rPr>
        <w:t>105/15</w:t>
      </w:r>
      <w:r w:rsidRPr="00024CC6">
        <w:t xml:space="preserve">), stečajnom upravitelju odredio nagradu u iznosu od  </w:t>
      </w:r>
      <w:r w:rsidR="00BD5D1C" w:rsidRPr="00024CC6">
        <w:rPr>
          <w:color w:val="000000"/>
        </w:rPr>
        <w:t xml:space="preserve">210.037,21 </w:t>
      </w:r>
      <w:r w:rsidRPr="00024CC6">
        <w:t>kn bruto,</w:t>
      </w:r>
      <w:r w:rsidR="00AB799D" w:rsidRPr="00024CC6">
        <w:t xml:space="preserve"> na način kako slijedi:</w:t>
      </w:r>
    </w:p>
    <w:p w:rsidRDefault="00AB799D" w:rsidP="0006527F" w:rsidR="00AB799D" w:rsidRPr="00024CC6">
      <w:pPr>
        <w:jc w:val="both"/>
      </w:pPr>
    </w:p>
    <w:p w:rsidRDefault="00AB799D" w:rsidP="0006527F" w:rsidR="00AB799D" w:rsidRPr="00024CC6">
      <w:pPr>
        <w:jc w:val="both"/>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59"/>
        <w:gridCol w:w="6292"/>
        <w:gridCol w:w="2071"/>
      </w:tblGrid>
      <w:tr w:rsidTr="00AB799D" w:rsidR="00AB799D" w:rsidRPr="00024CC6">
        <w:trPr>
          <w:trHeight w:val="699"/>
        </w:trPr>
        <w:tc>
          <w:tcPr>
            <w:tcW w:type="dxa" w:w="959"/>
            <w:tcBorders>
              <w:top w:space="0" w:sz="4" w:color="auto" w:val="single"/>
              <w:left w:space="0" w:sz="4" w:color="auto" w:val="single"/>
              <w:bottom w:space="0" w:sz="4" w:color="auto" w:val="single"/>
              <w:right w:space="0" w:sz="4" w:color="auto" w:val="single"/>
            </w:tcBorders>
          </w:tcPr>
          <w:p w:rsidRDefault="00AB799D" w:rsidR="00AB799D" w:rsidRPr="00024CC6">
            <w:pPr>
              <w:jc w:val="center"/>
              <w:rPr>
                <w:rFonts w:eastAsia="Arial Unicode MS"/>
              </w:rPr>
            </w:pPr>
          </w:p>
          <w:p w:rsidRDefault="00AB799D" w:rsidR="00AB799D" w:rsidRPr="00024CC6">
            <w:pPr>
              <w:jc w:val="center"/>
              <w:rPr>
                <w:rFonts w:eastAsia="Arial Unicode MS"/>
              </w:rPr>
            </w:pPr>
            <w:r w:rsidRPr="00024CC6">
              <w:rPr>
                <w:rFonts w:eastAsia="Arial Unicode MS"/>
                <w:bCs w:val="false"/>
              </w:rPr>
              <w:t>R. br.</w:t>
            </w:r>
          </w:p>
        </w:tc>
        <w:tc>
          <w:tcPr>
            <w:tcW w:type="dxa" w:w="6292"/>
            <w:tcBorders>
              <w:top w:space="0" w:sz="4" w:color="auto" w:val="single"/>
              <w:left w:space="0" w:sz="4" w:color="auto" w:val="single"/>
              <w:bottom w:space="0" w:sz="4" w:color="auto" w:val="single"/>
              <w:right w:space="0" w:sz="4" w:color="auto" w:val="single"/>
            </w:tcBorders>
          </w:tcPr>
          <w:p w:rsidRDefault="00AB799D" w:rsidR="00AB799D" w:rsidRPr="00024CC6">
            <w:pPr>
              <w:jc w:val="center"/>
              <w:rPr>
                <w:rFonts w:eastAsia="Arial Unicode MS"/>
              </w:rPr>
            </w:pPr>
          </w:p>
          <w:p w:rsidRDefault="00AB799D" w:rsidR="00AB799D" w:rsidRPr="00024CC6">
            <w:pPr>
              <w:jc w:val="center"/>
              <w:rPr>
                <w:rFonts w:eastAsia="Arial Unicode MS"/>
              </w:rPr>
            </w:pPr>
            <w:r w:rsidRPr="00024CC6">
              <w:rPr>
                <w:rFonts w:eastAsia="Arial Unicode MS"/>
                <w:bCs w:val="false"/>
              </w:rPr>
              <w:t xml:space="preserve">Obračun nagrade u postotku unovčene imovine </w:t>
            </w:r>
          </w:p>
        </w:tc>
        <w:tc>
          <w:tcPr>
            <w:tcW w:type="dxa" w:w="2071"/>
            <w:tcBorders>
              <w:top w:space="0" w:sz="4" w:color="auto" w:val="single"/>
              <w:left w:space="0" w:sz="4" w:color="auto" w:val="single"/>
              <w:bottom w:space="0" w:sz="4" w:color="auto" w:val="single"/>
              <w:right w:space="0" w:sz="4" w:color="auto" w:val="single"/>
            </w:tcBorders>
          </w:tcPr>
          <w:p w:rsidRDefault="00AB799D" w:rsidR="00AB799D" w:rsidRPr="00024CC6">
            <w:pPr>
              <w:jc w:val="center"/>
              <w:rPr>
                <w:rFonts w:eastAsia="Arial Unicode MS"/>
              </w:rPr>
            </w:pPr>
          </w:p>
          <w:p w:rsidRDefault="00AB799D" w:rsidP="00AB799D" w:rsidR="00AB799D" w:rsidRPr="00024CC6">
            <w:pPr>
              <w:jc w:val="center"/>
              <w:rPr>
                <w:rFonts w:eastAsia="Arial Unicode MS"/>
              </w:rPr>
            </w:pPr>
            <w:r w:rsidRPr="00024CC6">
              <w:rPr>
                <w:rFonts w:eastAsia="Arial Unicode MS"/>
                <w:bCs w:val="false"/>
              </w:rPr>
              <w:t>Iznos nagrade</w:t>
            </w:r>
          </w:p>
        </w:tc>
      </w:tr>
      <w:tr w:rsidTr="00AB799D" w:rsidR="00AB799D" w:rsidRPr="00024CC6">
        <w:tc>
          <w:tcPr>
            <w:tcW w:type="dxa" w:w="959"/>
            <w:tcBorders>
              <w:top w:space="0" w:sz="4" w:color="auto" w:val="single"/>
              <w:left w:space="0" w:sz="4" w:color="auto" w:val="single"/>
              <w:bottom w:space="0" w:sz="4" w:color="auto" w:val="single"/>
              <w:right w:space="0" w:sz="4" w:color="auto" w:val="single"/>
            </w:tcBorders>
            <w:hideMark/>
          </w:tcPr>
          <w:p w:rsidRDefault="00AB799D" w:rsidR="00AB799D" w:rsidRPr="00024CC6">
            <w:pPr>
              <w:jc w:val="center"/>
              <w:rPr>
                <w:color w:val="000000"/>
              </w:rPr>
            </w:pPr>
            <w:r w:rsidRPr="00024CC6">
              <w:rPr>
                <w:color w:val="000000"/>
              </w:rPr>
              <w:t>1.</w:t>
            </w:r>
          </w:p>
        </w:tc>
        <w:tc>
          <w:tcPr>
            <w:tcW w:type="dxa" w:w="6292"/>
            <w:tcBorders>
              <w:top w:space="0" w:sz="4" w:color="auto" w:val="single"/>
              <w:left w:space="0" w:sz="4" w:color="auto" w:val="single"/>
              <w:bottom w:space="0" w:sz="4" w:color="auto" w:val="single"/>
              <w:right w:space="0" w:sz="4" w:color="auto" w:val="single"/>
            </w:tcBorders>
            <w:hideMark/>
          </w:tcPr>
          <w:p w:rsidRDefault="00AB799D" w:rsidR="00AB799D" w:rsidRPr="00024CC6">
            <w:pPr>
              <w:tabs>
                <w:tab w:pos="2862" w:val="center"/>
              </w:tabs>
              <w:rPr>
                <w:color w:val="000000"/>
              </w:rPr>
            </w:pPr>
            <w:r w:rsidRPr="00024CC6">
              <w:rPr>
                <w:color w:val="000000"/>
              </w:rPr>
              <w:t>od 1 kn do 100.000,00 kn , nagrada od 16%</w:t>
            </w:r>
          </w:p>
        </w:tc>
        <w:tc>
          <w:tcPr>
            <w:tcW w:type="dxa" w:w="2071"/>
            <w:tcBorders>
              <w:top w:space="0" w:sz="4" w:color="auto" w:val="single"/>
              <w:left w:space="0" w:sz="4" w:color="auto" w:val="single"/>
              <w:bottom w:space="0" w:sz="4" w:color="auto" w:val="single"/>
              <w:right w:space="0" w:sz="4" w:color="auto" w:val="single"/>
            </w:tcBorders>
            <w:hideMark/>
          </w:tcPr>
          <w:p w:rsidRDefault="00AB799D" w:rsidR="00AB799D" w:rsidRPr="00024CC6">
            <w:pPr>
              <w:jc w:val="right"/>
              <w:rPr>
                <w:color w:val="000000"/>
              </w:rPr>
            </w:pPr>
            <w:r w:rsidRPr="00024CC6">
              <w:rPr>
                <w:color w:val="000000"/>
              </w:rPr>
              <w:t>16.000,00</w:t>
            </w:r>
          </w:p>
        </w:tc>
      </w:tr>
      <w:tr w:rsidTr="00AB799D" w:rsidR="00AB799D" w:rsidRPr="00024CC6">
        <w:tc>
          <w:tcPr>
            <w:tcW w:type="dxa" w:w="959"/>
            <w:tcBorders>
              <w:top w:space="0" w:sz="4" w:color="auto" w:val="single"/>
              <w:left w:space="0" w:sz="4" w:color="auto" w:val="single"/>
              <w:bottom w:space="0" w:sz="4" w:color="auto" w:val="single"/>
              <w:right w:space="0" w:sz="4" w:color="auto" w:val="single"/>
            </w:tcBorders>
            <w:hideMark/>
          </w:tcPr>
          <w:p w:rsidRDefault="00AB799D" w:rsidR="00AB799D" w:rsidRPr="00024CC6">
            <w:pPr>
              <w:jc w:val="center"/>
              <w:rPr>
                <w:color w:val="000000"/>
              </w:rPr>
            </w:pPr>
            <w:r w:rsidRPr="00024CC6">
              <w:rPr>
                <w:color w:val="000000"/>
              </w:rPr>
              <w:t>2.</w:t>
            </w:r>
          </w:p>
        </w:tc>
        <w:tc>
          <w:tcPr>
            <w:tcW w:type="dxa" w:w="6292"/>
            <w:tcBorders>
              <w:top w:space="0" w:sz="4" w:color="auto" w:val="single"/>
              <w:left w:space="0" w:sz="4" w:color="auto" w:val="single"/>
              <w:bottom w:space="0" w:sz="4" w:color="auto" w:val="single"/>
              <w:right w:space="0" w:sz="4" w:color="auto" w:val="single"/>
            </w:tcBorders>
            <w:hideMark/>
          </w:tcPr>
          <w:p w:rsidRDefault="00AB799D" w:rsidR="00AB799D" w:rsidRPr="00024CC6">
            <w:pPr>
              <w:tabs>
                <w:tab w:pos="2862" w:val="center"/>
              </w:tabs>
              <w:rPr>
                <w:rFonts w:eastAsia="Arial Unicode MS"/>
                <w:color w:val="000000"/>
              </w:rPr>
            </w:pPr>
            <w:r w:rsidRPr="00024CC6">
              <w:rPr>
                <w:rFonts w:eastAsia="Arial Unicode MS"/>
                <w:color w:val="000000"/>
              </w:rPr>
              <w:t xml:space="preserve">od 100.000,01 kn,  do 300.000,00 kn, nagrada od 12% </w:t>
            </w:r>
          </w:p>
        </w:tc>
        <w:tc>
          <w:tcPr>
            <w:tcW w:type="dxa" w:w="2071"/>
            <w:tcBorders>
              <w:top w:space="0" w:sz="4" w:color="auto" w:val="single"/>
              <w:left w:space="0" w:sz="4" w:color="auto" w:val="single"/>
              <w:bottom w:space="0" w:sz="4" w:color="auto" w:val="single"/>
              <w:right w:space="0" w:sz="4" w:color="auto" w:val="single"/>
            </w:tcBorders>
            <w:hideMark/>
          </w:tcPr>
          <w:p w:rsidRDefault="00AB799D" w:rsidR="00AB799D" w:rsidRPr="00024CC6">
            <w:pPr>
              <w:jc w:val="right"/>
              <w:rPr>
                <w:color w:val="000000"/>
              </w:rPr>
            </w:pPr>
            <w:r w:rsidRPr="00024CC6">
              <w:rPr>
                <w:color w:val="000000"/>
              </w:rPr>
              <w:t>24.000,00</w:t>
            </w:r>
          </w:p>
        </w:tc>
      </w:tr>
      <w:tr w:rsidTr="00AB799D" w:rsidR="00AB799D" w:rsidRPr="00024CC6">
        <w:tc>
          <w:tcPr>
            <w:tcW w:type="dxa" w:w="959"/>
            <w:tcBorders>
              <w:top w:space="0" w:sz="4" w:color="auto" w:val="single"/>
              <w:left w:space="0" w:sz="4" w:color="auto" w:val="single"/>
              <w:bottom w:space="0" w:sz="4" w:color="auto" w:val="single"/>
              <w:right w:space="0" w:sz="4" w:color="auto" w:val="single"/>
            </w:tcBorders>
            <w:hideMark/>
          </w:tcPr>
          <w:p w:rsidRDefault="00AB799D" w:rsidR="00AB799D" w:rsidRPr="00024CC6">
            <w:pPr>
              <w:jc w:val="center"/>
            </w:pPr>
            <w:r w:rsidRPr="00024CC6">
              <w:t>3.</w:t>
            </w:r>
          </w:p>
        </w:tc>
        <w:tc>
          <w:tcPr>
            <w:tcW w:type="dxa" w:w="6292"/>
            <w:tcBorders>
              <w:top w:space="0" w:sz="4" w:color="auto" w:val="single"/>
              <w:left w:space="0" w:sz="4" w:color="auto" w:val="single"/>
              <w:bottom w:space="0" w:sz="4" w:color="auto" w:val="single"/>
              <w:right w:space="0" w:sz="4" w:color="auto" w:val="single"/>
            </w:tcBorders>
            <w:hideMark/>
          </w:tcPr>
          <w:p w:rsidRDefault="00AB799D" w:rsidR="00AB799D" w:rsidRPr="00024CC6">
            <w:r w:rsidRPr="00024CC6">
              <w:t>od 300.000,01 kn, do 500.000,00 kn, nagrada od 10%</w:t>
            </w:r>
          </w:p>
        </w:tc>
        <w:tc>
          <w:tcPr>
            <w:tcW w:type="dxa" w:w="2071"/>
            <w:tcBorders>
              <w:top w:space="0" w:sz="4" w:color="auto" w:val="single"/>
              <w:left w:space="0" w:sz="4" w:color="auto" w:val="single"/>
              <w:bottom w:space="0" w:sz="4" w:color="auto" w:val="single"/>
              <w:right w:space="0" w:sz="4" w:color="auto" w:val="single"/>
            </w:tcBorders>
            <w:hideMark/>
          </w:tcPr>
          <w:p w:rsidRDefault="00AB799D" w:rsidR="00AB799D" w:rsidRPr="00024CC6">
            <w:pPr>
              <w:jc w:val="right"/>
            </w:pPr>
            <w:r w:rsidRPr="00024CC6">
              <w:t>20.000,00</w:t>
            </w:r>
          </w:p>
        </w:tc>
      </w:tr>
      <w:tr w:rsidTr="00AB799D" w:rsidR="00AB799D" w:rsidRPr="00024CC6">
        <w:tc>
          <w:tcPr>
            <w:tcW w:type="dxa" w:w="959"/>
            <w:tcBorders>
              <w:top w:space="0" w:sz="4" w:color="auto" w:val="single"/>
              <w:left w:space="0" w:sz="4" w:color="auto" w:val="single"/>
              <w:bottom w:space="0" w:sz="4" w:color="auto" w:val="single"/>
              <w:right w:space="0" w:sz="4" w:color="auto" w:val="single"/>
            </w:tcBorders>
            <w:hideMark/>
          </w:tcPr>
          <w:p w:rsidRDefault="00AB799D" w:rsidR="00AB799D" w:rsidRPr="00024CC6">
            <w:pPr>
              <w:jc w:val="center"/>
            </w:pPr>
            <w:r w:rsidRPr="00024CC6">
              <w:t>4.</w:t>
            </w:r>
          </w:p>
        </w:tc>
        <w:tc>
          <w:tcPr>
            <w:tcW w:type="dxa" w:w="6292"/>
            <w:tcBorders>
              <w:top w:space="0" w:sz="4" w:color="auto" w:val="single"/>
              <w:left w:space="0" w:sz="4" w:color="auto" w:val="single"/>
              <w:bottom w:space="0" w:sz="4" w:color="auto" w:val="single"/>
              <w:right w:space="0" w:sz="4" w:color="auto" w:val="single"/>
            </w:tcBorders>
            <w:hideMark/>
          </w:tcPr>
          <w:p w:rsidRDefault="00AB799D" w:rsidR="00AB799D" w:rsidRPr="00024CC6">
            <w:r w:rsidRPr="00024CC6">
              <w:t>od 500.000,01 kn, do 1.000.000,00 kn, nagrada od 8%</w:t>
            </w:r>
          </w:p>
        </w:tc>
        <w:tc>
          <w:tcPr>
            <w:tcW w:type="dxa" w:w="2071"/>
            <w:tcBorders>
              <w:top w:space="0" w:sz="4" w:color="auto" w:val="single"/>
              <w:left w:space="0" w:sz="4" w:color="auto" w:val="single"/>
              <w:bottom w:space="0" w:sz="4" w:color="auto" w:val="single"/>
              <w:right w:space="0" w:sz="4" w:color="auto" w:val="single"/>
            </w:tcBorders>
            <w:hideMark/>
          </w:tcPr>
          <w:p w:rsidRDefault="00AB799D" w:rsidR="00AB799D" w:rsidRPr="00024CC6">
            <w:pPr>
              <w:jc w:val="right"/>
            </w:pPr>
            <w:r w:rsidRPr="00024CC6">
              <w:t>40.000,00</w:t>
            </w:r>
          </w:p>
        </w:tc>
      </w:tr>
      <w:tr w:rsidTr="00AB799D" w:rsidR="00AB799D" w:rsidRPr="00024CC6">
        <w:tc>
          <w:tcPr>
            <w:tcW w:type="dxa" w:w="959"/>
            <w:tcBorders>
              <w:top w:space="0" w:sz="4" w:color="auto" w:val="single"/>
              <w:left w:space="0" w:sz="4" w:color="auto" w:val="single"/>
              <w:bottom w:space="0" w:sz="4" w:color="auto" w:val="single"/>
              <w:right w:space="0" w:sz="4" w:color="auto" w:val="single"/>
            </w:tcBorders>
            <w:hideMark/>
          </w:tcPr>
          <w:p w:rsidRDefault="00AB799D" w:rsidR="00AB799D" w:rsidRPr="00024CC6">
            <w:pPr>
              <w:jc w:val="center"/>
            </w:pPr>
            <w:r w:rsidRPr="00024CC6">
              <w:t>5.</w:t>
            </w:r>
          </w:p>
        </w:tc>
        <w:tc>
          <w:tcPr>
            <w:tcW w:type="dxa" w:w="6292"/>
            <w:tcBorders>
              <w:top w:space="0" w:sz="4" w:color="auto" w:val="single"/>
              <w:left w:space="0" w:sz="4" w:color="auto" w:val="single"/>
              <w:bottom w:space="0" w:sz="4" w:color="auto" w:val="single"/>
              <w:right w:space="0" w:sz="4" w:color="auto" w:val="single"/>
            </w:tcBorders>
            <w:hideMark/>
          </w:tcPr>
          <w:p w:rsidRDefault="00AB799D" w:rsidR="00AB799D" w:rsidRPr="00024CC6">
            <w:r w:rsidRPr="00024CC6">
              <w:t xml:space="preserve">od 1.000.000,01 kn, do </w:t>
            </w:r>
            <w:r w:rsidR="00650505" w:rsidRPr="00024CC6">
              <w:rPr>
                <w:bCs w:val="false"/>
              </w:rPr>
              <w:t>2.571.960,17</w:t>
            </w:r>
            <w:r w:rsidR="00650505" w:rsidRPr="00024CC6">
              <w:rPr>
                <w:rFonts w:eastAsia="Arial Unicode MS"/>
              </w:rPr>
              <w:t xml:space="preserve"> </w:t>
            </w:r>
            <w:r w:rsidRPr="00024CC6">
              <w:t>kn, nagrada od 7%</w:t>
            </w:r>
          </w:p>
        </w:tc>
        <w:tc>
          <w:tcPr>
            <w:tcW w:type="dxa" w:w="2071"/>
            <w:tcBorders>
              <w:top w:space="0" w:sz="4" w:color="auto" w:val="single"/>
              <w:left w:space="0" w:sz="4" w:color="auto" w:val="single"/>
              <w:bottom w:space="0" w:sz="4" w:color="auto" w:val="single"/>
              <w:right w:space="0" w:sz="4" w:color="auto" w:val="single"/>
            </w:tcBorders>
            <w:hideMark/>
          </w:tcPr>
          <w:p w:rsidRDefault="00B1156F" w:rsidR="00AB799D" w:rsidRPr="00024CC6">
            <w:pPr>
              <w:jc w:val="right"/>
              <w:rPr>
                <w:color w:val="000000"/>
              </w:rPr>
            </w:pPr>
            <w:r w:rsidRPr="00024CC6">
              <w:rPr>
                <w:color w:val="000000"/>
              </w:rPr>
              <w:t>110.037,21</w:t>
            </w:r>
          </w:p>
        </w:tc>
      </w:tr>
      <w:tr w:rsidTr="00AB799D" w:rsidR="00AB799D" w:rsidRPr="00024CC6">
        <w:tc>
          <w:tcPr>
            <w:tcW w:type="dxa" w:w="959"/>
            <w:tcBorders>
              <w:top w:space="0" w:sz="4" w:color="auto" w:val="single"/>
              <w:left w:space="0" w:sz="4" w:color="auto" w:val="single"/>
              <w:bottom w:space="0" w:sz="4" w:color="auto" w:val="single"/>
              <w:right w:space="0" w:sz="4" w:color="auto" w:val="single"/>
            </w:tcBorders>
          </w:tcPr>
          <w:p w:rsidRDefault="00AB799D" w:rsidR="00AB799D" w:rsidRPr="00024CC6">
            <w:pPr>
              <w:jc w:val="center"/>
            </w:pPr>
          </w:p>
        </w:tc>
        <w:tc>
          <w:tcPr>
            <w:tcW w:type="dxa" w:w="6292"/>
            <w:tcBorders>
              <w:top w:space="0" w:sz="4" w:color="auto" w:val="single"/>
              <w:left w:space="0" w:sz="4" w:color="auto" w:val="single"/>
              <w:bottom w:space="0" w:sz="4" w:color="auto" w:val="single"/>
              <w:right w:space="0" w:sz="4" w:color="auto" w:val="single"/>
            </w:tcBorders>
            <w:hideMark/>
          </w:tcPr>
          <w:p w:rsidRDefault="00024CC6" w:rsidR="00AB799D" w:rsidRPr="00024CC6">
            <w:pPr>
              <w:jc w:val="center"/>
            </w:pPr>
            <w:r>
              <w:t xml:space="preserve">                                   </w:t>
            </w:r>
            <w:r w:rsidR="00AB799D" w:rsidRPr="00024CC6">
              <w:t>Ukupno</w:t>
            </w:r>
          </w:p>
        </w:tc>
        <w:tc>
          <w:tcPr>
            <w:tcW w:type="dxa" w:w="2071"/>
            <w:tcBorders>
              <w:top w:space="0" w:sz="4" w:color="auto" w:val="single"/>
              <w:left w:space="0" w:sz="4" w:color="auto" w:val="single"/>
              <w:bottom w:space="0" w:sz="4" w:color="auto" w:val="single"/>
              <w:right w:space="0" w:sz="4" w:color="auto" w:val="single"/>
            </w:tcBorders>
            <w:hideMark/>
          </w:tcPr>
          <w:p w:rsidRDefault="00B1156F" w:rsidP="00B1156F" w:rsidR="00AB799D" w:rsidRPr="00024CC6">
            <w:pPr>
              <w:tabs>
                <w:tab w:pos="927" w:val="center"/>
                <w:tab w:pos="1855" w:val="right"/>
              </w:tabs>
              <w:jc w:val="right"/>
              <w:rPr>
                <w:color w:val="000000"/>
              </w:rPr>
            </w:pPr>
            <w:r w:rsidRPr="00024CC6">
              <w:tab/>
            </w:r>
            <w:r w:rsidRPr="00024CC6">
              <w:rPr>
                <w:color w:val="000000"/>
              </w:rPr>
              <w:t>210.037,21</w:t>
            </w:r>
          </w:p>
        </w:tc>
      </w:tr>
    </w:tbl>
    <w:p w:rsidRDefault="00AB799D" w:rsidP="0006527F" w:rsidR="00AB799D" w:rsidRPr="00024CC6">
      <w:pPr>
        <w:jc w:val="both"/>
      </w:pPr>
    </w:p>
    <w:p w:rsidRDefault="0006527F" w:rsidP="0006527F" w:rsidR="0006527F" w:rsidRPr="00024CC6">
      <w:pPr>
        <w:jc w:val="both"/>
      </w:pPr>
      <w:r w:rsidRPr="00024CC6">
        <w:tab/>
        <w:t>Prilikom određivanja konačne nagrade za rad stečajnom upravitelju, stečajni sudac je ocijenio obujam i složenost poslova kao i uložen trud stečajnog upravitelja, pa je temeljem navedenog odlučeno kao u</w:t>
      </w:r>
      <w:r w:rsidR="004B5EA3" w:rsidRPr="00024CC6">
        <w:t xml:space="preserve"> točkama I. i II.</w:t>
      </w:r>
      <w:r w:rsidRPr="00024CC6">
        <w:t xml:space="preserve"> izre</w:t>
      </w:r>
      <w:r w:rsidR="004B5EA3" w:rsidRPr="00024CC6">
        <w:t xml:space="preserve">ke </w:t>
      </w:r>
      <w:r w:rsidRPr="00024CC6">
        <w:t>ovog rješenja.</w:t>
      </w:r>
    </w:p>
    <w:p w:rsidRDefault="00F52E32" w:rsidP="00F52E32" w:rsidR="00F52E32" w:rsidRPr="00024CC6">
      <w:pPr>
        <w:ind w:firstLine="708"/>
        <w:jc w:val="both"/>
      </w:pPr>
    </w:p>
    <w:p w:rsidRDefault="0006527F" w:rsidP="0006527F" w:rsidR="0006527F" w:rsidRPr="00024CC6">
      <w:pPr>
        <w:jc w:val="center"/>
      </w:pPr>
      <w:r w:rsidRPr="00024CC6">
        <w:t xml:space="preserve">U Pazinu, </w:t>
      </w:r>
      <w:r w:rsidR="00B1156F" w:rsidRPr="00024CC6">
        <w:t>8</w:t>
      </w:r>
      <w:r w:rsidRPr="00024CC6">
        <w:t xml:space="preserve">. </w:t>
      </w:r>
      <w:r w:rsidR="00B1156F" w:rsidRPr="00024CC6">
        <w:t>studenog</w:t>
      </w:r>
      <w:r w:rsidRPr="00024CC6">
        <w:t xml:space="preserve"> 2016. godine</w:t>
      </w:r>
    </w:p>
    <w:p w:rsidRDefault="0006527F" w:rsidP="0006527F" w:rsidR="0006527F" w:rsidRPr="00024CC6"/>
    <w:p w:rsidRDefault="0006527F" w:rsidP="0006527F" w:rsidR="0006527F" w:rsidRPr="00024CC6">
      <w:r w:rsidRPr="00024CC6">
        <w:t xml:space="preserve">       </w:t>
      </w:r>
      <w:r w:rsidRPr="00024CC6">
        <w:tab/>
      </w:r>
      <w:r w:rsidRPr="00024CC6">
        <w:tab/>
      </w:r>
      <w:r w:rsidRPr="00024CC6">
        <w:tab/>
      </w:r>
      <w:r w:rsidRPr="00024CC6">
        <w:tab/>
      </w:r>
      <w:r w:rsidRPr="00024CC6">
        <w:tab/>
      </w:r>
      <w:r w:rsidRPr="00024CC6">
        <w:tab/>
      </w:r>
      <w:r w:rsidRPr="00024CC6">
        <w:tab/>
      </w:r>
      <w:r w:rsidRPr="00024CC6">
        <w:tab/>
      </w:r>
      <w:r w:rsidRPr="00024CC6">
        <w:tab/>
        <w:t xml:space="preserve">Stečajni sudac </w:t>
      </w:r>
    </w:p>
    <w:p w:rsidRDefault="00EE4584" w:rsidP="0006527F" w:rsidR="0006527F" w:rsidRPr="00024CC6">
      <w:r>
        <w:tab/>
      </w:r>
      <w:r>
        <w:tab/>
      </w:r>
      <w:r>
        <w:tab/>
      </w:r>
      <w:r>
        <w:tab/>
      </w:r>
      <w:r>
        <w:tab/>
      </w:r>
      <w:r>
        <w:tab/>
      </w:r>
      <w:r>
        <w:tab/>
      </w:r>
      <w:r>
        <w:tab/>
      </w:r>
      <w:r>
        <w:tab/>
      </w:r>
      <w:r w:rsidR="0006527F" w:rsidRPr="00024CC6">
        <w:t>Damir Rabar</w:t>
      </w:r>
      <w:r>
        <w:t>, v.r.</w:t>
      </w:r>
    </w:p>
    <w:p w:rsidRDefault="0006527F" w:rsidP="0006527F" w:rsidR="0006527F" w:rsidRPr="00024CC6"/>
    <w:p w:rsidRDefault="0006527F" w:rsidP="0006527F" w:rsidR="0006527F" w:rsidRPr="00024CC6"/>
    <w:p w:rsidRDefault="0006527F" w:rsidP="0006527F" w:rsidR="0006527F" w:rsidRPr="00024CC6"/>
    <w:p w:rsidRDefault="0006527F" w:rsidP="0006527F" w:rsidR="0006527F" w:rsidRPr="00024CC6">
      <w:r w:rsidRPr="00024CC6">
        <w:t>UPUTA O PRAVNOM LIJEKU</w:t>
      </w:r>
    </w:p>
    <w:p w:rsidRDefault="0006527F" w:rsidP="0006527F" w:rsidR="0006527F" w:rsidRPr="00024CC6">
      <w:pPr>
        <w:jc w:val="both"/>
      </w:pPr>
      <w:r w:rsidRPr="00024CC6">
        <w:tab/>
        <w:t>Protiv ovog rješenja pravo na žalbu imaju stečajni upravitelj, dužnik pojedinac i svaki stečajni vjerovnik. Žalba se podnosi u roku od 8 dana od dana primitka istog. Žalba se podnosi putem ovog suda, u dva istovjetna primjerka, a o žalbi odlučuje Visoki trgovački sud Republike Hrvatske.</w:t>
      </w:r>
    </w:p>
    <w:p w:rsidRDefault="0006527F" w:rsidP="0006527F" w:rsidR="0006527F" w:rsidRPr="00024CC6"/>
    <w:p w:rsidRDefault="0006527F" w:rsidP="0006527F" w:rsidR="0006527F" w:rsidRPr="00024CC6"/>
    <w:p w:rsidRDefault="0006527F" w:rsidP="0006527F" w:rsidR="0006527F" w:rsidRPr="00024CC6">
      <w:r w:rsidRPr="00024CC6">
        <w:t>DNA:</w:t>
      </w:r>
    </w:p>
    <w:p w:rsidRDefault="0006527F" w:rsidP="0006527F" w:rsidR="0006527F" w:rsidRPr="00024CC6">
      <w:r w:rsidRPr="00024CC6">
        <w:t xml:space="preserve">- stečajni upravitelj </w:t>
      </w:r>
      <w:r w:rsidR="00B90343" w:rsidRPr="00024CC6">
        <w:t>Vlasta Majstorović</w:t>
      </w:r>
    </w:p>
    <w:p w:rsidRDefault="0006527F" w:rsidP="0006527F" w:rsidR="0006527F" w:rsidRPr="00024CC6">
      <w:r w:rsidRPr="00024CC6">
        <w:t xml:space="preserve">- </w:t>
      </w:r>
      <w:r w:rsidR="00B90343" w:rsidRPr="00024CC6">
        <w:t>e-oglasna ploča</w:t>
      </w:r>
    </w:p>
    <w:sectPr w:rsidSect="00A003E1" w:rsidR="0006527F" w:rsidRPr="00024CC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B5C" w:rsidR="00761B5C">
      <w:r>
        <w:separator/>
      </w:r>
    </w:p>
  </w:endnote>
  <w:endnote w:id="0" w:type="continuationSeparator">
    <w:p w:rsidRDefault="00761B5C" w:rsidR="00761B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B5C" w:rsidR="00761B5C">
      <w:r>
        <w:separator/>
      </w:r>
    </w:p>
  </w:footnote>
  <w:footnote w:id="0" w:type="continuationSeparator">
    <w:p w:rsidRDefault="00761B5C" w:rsidR="00761B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0BCB" w:rsidP="00983292" w:rsidR="00A05D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4584" w:rsidR="00A05D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0BCB" w:rsidR="00A003E1">
    <w:pPr>
      <w:pStyle w:val="Zaglavlje"/>
      <w:jc w:val="center"/>
    </w:pPr>
    <w:r>
      <w:tab/>
    </w:r>
    <w:r>
      <w:fldChar w:fldCharType="begin"/>
    </w:r>
    <w:r>
      <w:instrText>PAGE   \* MERGEFORMAT</w:instrText>
    </w:r>
    <w:r>
      <w:fldChar w:fldCharType="separate"/>
    </w:r>
    <w:r w:rsidR="00EE4584">
      <w:rPr>
        <w:noProof/>
      </w:rPr>
      <w:t>2</w:t>
    </w:r>
    <w:r>
      <w:fldChar w:fldCharType="end"/>
    </w:r>
    <w:r>
      <w:tab/>
    </w:r>
    <w:r w:rsidR="007644FF">
      <w:t>Posl. br.: 1 St-12/15-302</w:t>
    </w:r>
  </w:p>
  <w:p w:rsidRDefault="00EE4584" w:rsidR="00A05DE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4FF" w:rsidP="007644FF" w:rsidR="007644FF">
    <w:pPr>
      <w:pStyle w:val="Zaglavlje"/>
      <w:jc w:val="right"/>
    </w:pPr>
    <w:r>
      <w:t>Posl. br.: 1 St-12/15-302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27F"/>
    <w:rsid w:val="00024CC6"/>
    <w:rsid w:val="0006527F"/>
    <w:rsid w:val="000A5BA9"/>
    <w:rsid w:val="000F1232"/>
    <w:rsid w:val="00251490"/>
    <w:rsid w:val="00284B1B"/>
    <w:rsid w:val="002E7CC6"/>
    <w:rsid w:val="00322B0D"/>
    <w:rsid w:val="00362AEA"/>
    <w:rsid w:val="004476A8"/>
    <w:rsid w:val="00476D74"/>
    <w:rsid w:val="004B5EA3"/>
    <w:rsid w:val="004C4651"/>
    <w:rsid w:val="00575316"/>
    <w:rsid w:val="00593D1B"/>
    <w:rsid w:val="00650505"/>
    <w:rsid w:val="0066387E"/>
    <w:rsid w:val="00761B5C"/>
    <w:rsid w:val="007644FF"/>
    <w:rsid w:val="008075C6"/>
    <w:rsid w:val="0083148A"/>
    <w:rsid w:val="008363A0"/>
    <w:rsid w:val="008541B7"/>
    <w:rsid w:val="008E59FA"/>
    <w:rsid w:val="0093403F"/>
    <w:rsid w:val="00A65839"/>
    <w:rsid w:val="00AB799D"/>
    <w:rsid w:val="00B1156F"/>
    <w:rsid w:val="00B16117"/>
    <w:rsid w:val="00B56F59"/>
    <w:rsid w:val="00B90343"/>
    <w:rsid w:val="00BD5D1C"/>
    <w:rsid w:val="00C508CC"/>
    <w:rsid w:val="00C74D7C"/>
    <w:rsid w:val="00CB2805"/>
    <w:rsid w:val="00D50BCB"/>
    <w:rsid w:val="00EE4584"/>
    <w:rsid w:val="00F52E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527F"/>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6527F"/>
    <w:pPr>
      <w:tabs>
        <w:tab w:pos="4536" w:val="center"/>
        <w:tab w:pos="9072" w:val="right"/>
      </w:tabs>
    </w:pPr>
  </w:style>
  <w:style w:customStyle="true" w:styleId="ZaglavljeChar" w:type="character">
    <w:name w:val="Zaglavlje Char"/>
    <w:basedOn w:val="Zadanifontodlomka"/>
    <w:link w:val="Zaglavlje"/>
    <w:uiPriority w:val="99"/>
    <w:rsid w:val="0006527F"/>
    <w:rPr>
      <w:rFonts w:cs="Times New Roman" w:eastAsia="Times New Roman" w:hAnsi="Times New Roman" w:ascii="Times New Roman"/>
      <w:bCs/>
      <w:sz w:val="24"/>
      <w:szCs w:val="24"/>
      <w:lang w:eastAsia="hr-HR"/>
    </w:rPr>
  </w:style>
  <w:style w:styleId="Brojstranice" w:type="character">
    <w:name w:val="page number"/>
    <w:basedOn w:val="Zadanifontodlomka"/>
    <w:rsid w:val="0006527F"/>
  </w:style>
  <w:style w:styleId="Tijeloteksta" w:type="paragraph">
    <w:name w:val="Body Text"/>
    <w:basedOn w:val="Normal"/>
    <w:link w:val="TijelotekstaChar"/>
    <w:rsid w:val="0006527F"/>
    <w:pPr>
      <w:jc w:val="both"/>
    </w:pPr>
    <w:rPr>
      <w:bCs w:val="false"/>
    </w:rPr>
  </w:style>
  <w:style w:customStyle="true" w:styleId="TijelotekstaChar" w:type="character">
    <w:name w:val="Tijelo teksta Char"/>
    <w:basedOn w:val="Zadanifontodlomka"/>
    <w:link w:val="Tijeloteksta"/>
    <w:rsid w:val="0006527F"/>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652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527F"/>
    <w:rPr>
      <w:rFonts w:cs="Tahoma" w:eastAsia="Times New Roman" w:hAnsi="Tahoma" w:ascii="Tahoma"/>
      <w:bCs/>
      <w:sz w:val="16"/>
      <w:szCs w:val="16"/>
      <w:lang w:eastAsia="hr-HR"/>
    </w:rPr>
  </w:style>
  <w:style w:customStyle="true" w:styleId="f01" w:type="character">
    <w:name w:val="f01"/>
    <w:basedOn w:val="Zadanifontodlomka"/>
    <w:rsid w:val="008363A0"/>
    <w:rPr>
      <w:rFonts w:cs="Times New Roman" w:hAnsi="Times New Roman" w:ascii="Times New Roman" w:hint="default"/>
      <w:color w:val="000000"/>
      <w:sz w:val="24"/>
      <w:szCs w:val="24"/>
    </w:rPr>
  </w:style>
  <w:style w:styleId="Podnoje" w:type="paragraph">
    <w:name w:val="footer"/>
    <w:basedOn w:val="Normal"/>
    <w:link w:val="PodnojeChar"/>
    <w:uiPriority w:val="99"/>
    <w:unhideWhenUsed/>
    <w:rsid w:val="004C4651"/>
    <w:pPr>
      <w:tabs>
        <w:tab w:pos="4536" w:val="center"/>
        <w:tab w:pos="9072" w:val="right"/>
      </w:tabs>
    </w:pPr>
  </w:style>
  <w:style w:customStyle="true" w:styleId="PodnojeChar" w:type="character">
    <w:name w:val="Podnožje Char"/>
    <w:basedOn w:val="Zadanifontodlomka"/>
    <w:link w:val="Podnoje"/>
    <w:uiPriority w:val="99"/>
    <w:rsid w:val="004C4651"/>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C508CC"/>
    <w:rPr>
      <w:color w:val="808080"/>
      <w:bdr w:space="0" w:sz="0" w:color="auto" w:val="none"/>
      <w:shd w:fill="auto" w:color="auto" w:val="clear"/>
    </w:rPr>
  </w:style>
  <w:style w:customStyle="true" w:styleId="eSPISCCParagraphDefaultFont" w:type="character">
    <w:name w:val="eSPIS_CC_Paragraph Default Font"/>
    <w:basedOn w:val="Zadanifontodlomka"/>
    <w:rsid w:val="00C508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8CC"/>
    <w:rPr>
      <w:bdr w:space="0" w:sz="0" w:color="auto" w:val="none"/>
      <w:shd w:fill="FFFFCC" w:color="auto" w:val="clear"/>
      <w:lang w:val="hr-HR"/>
    </w:rPr>
  </w:style>
  <w:style w:customStyle="true" w:styleId="PozadinaSvijetloCrvena" w:type="character">
    <w:name w:val="Pozadina_SvijetloCrvena"/>
    <w:basedOn w:val="eSPISCCParagraphDefaultFont"/>
    <w:rsid w:val="00C508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8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527F"/>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6527F"/>
    <w:pPr>
      <w:tabs>
        <w:tab w:pos="4536" w:val="center"/>
        <w:tab w:pos="9072" w:val="right"/>
      </w:tabs>
    </w:pPr>
  </w:style>
  <w:style w:customStyle="1" w:styleId="ZaglavljeChar" w:type="character">
    <w:name w:val="Zaglavlje Char"/>
    <w:basedOn w:val="Zadanifontodlomka"/>
    <w:link w:val="Zaglavlje"/>
    <w:uiPriority w:val="99"/>
    <w:rsid w:val="0006527F"/>
    <w:rPr>
      <w:rFonts w:ascii="Times New Roman" w:cs="Times New Roman" w:eastAsia="Times New Roman" w:hAnsi="Times New Roman"/>
      <w:bCs/>
      <w:sz w:val="24"/>
      <w:szCs w:val="24"/>
      <w:lang w:eastAsia="hr-HR"/>
    </w:rPr>
  </w:style>
  <w:style w:styleId="Brojstranice" w:type="character">
    <w:name w:val="page number"/>
    <w:basedOn w:val="Zadanifontodlomka"/>
    <w:rsid w:val="0006527F"/>
  </w:style>
  <w:style w:styleId="Tijeloteksta" w:type="paragraph">
    <w:name w:val="Body Text"/>
    <w:basedOn w:val="Normal"/>
    <w:link w:val="TijelotekstaChar"/>
    <w:rsid w:val="0006527F"/>
    <w:pPr>
      <w:jc w:val="both"/>
    </w:pPr>
    <w:rPr>
      <w:bCs w:val="0"/>
    </w:rPr>
  </w:style>
  <w:style w:customStyle="1" w:styleId="TijelotekstaChar" w:type="character">
    <w:name w:val="Tijelo teksta Char"/>
    <w:basedOn w:val="Zadanifontodlomka"/>
    <w:link w:val="Tijeloteksta"/>
    <w:rsid w:val="0006527F"/>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6527F"/>
    <w:rPr>
      <w:rFonts w:ascii="Tahoma" w:cs="Tahoma" w:hAnsi="Tahoma"/>
      <w:sz w:val="16"/>
      <w:szCs w:val="16"/>
    </w:rPr>
  </w:style>
  <w:style w:customStyle="1" w:styleId="TekstbaloniaChar" w:type="character">
    <w:name w:val="Tekst balončića Char"/>
    <w:basedOn w:val="Zadanifontodlomka"/>
    <w:link w:val="Tekstbalonia"/>
    <w:uiPriority w:val="99"/>
    <w:semiHidden/>
    <w:rsid w:val="0006527F"/>
    <w:rPr>
      <w:rFonts w:ascii="Tahoma" w:cs="Tahoma" w:eastAsia="Times New Roman" w:hAnsi="Tahoma"/>
      <w:bCs/>
      <w:sz w:val="16"/>
      <w:szCs w:val="16"/>
      <w:lang w:eastAsia="hr-HR"/>
    </w:rPr>
  </w:style>
  <w:style w:customStyle="1" w:styleId="f01" w:type="character">
    <w:name w:val="f01"/>
    <w:basedOn w:val="Zadanifontodlomka"/>
    <w:rsid w:val="008363A0"/>
    <w:rPr>
      <w:rFonts w:ascii="Times New Roman" w:cs="Times New Roman" w:hAnsi="Times New Roman" w:hint="default"/>
      <w:color w:val="000000"/>
      <w:sz w:val="24"/>
      <w:szCs w:val="24"/>
    </w:rPr>
  </w:style>
  <w:style w:styleId="Podnoje" w:type="paragraph">
    <w:name w:val="footer"/>
    <w:basedOn w:val="Normal"/>
    <w:link w:val="PodnojeChar"/>
    <w:uiPriority w:val="99"/>
    <w:unhideWhenUsed/>
    <w:rsid w:val="004C4651"/>
    <w:pPr>
      <w:tabs>
        <w:tab w:pos="4536" w:val="center"/>
        <w:tab w:pos="9072" w:val="right"/>
      </w:tabs>
    </w:pPr>
  </w:style>
  <w:style w:customStyle="1" w:styleId="PodnojeChar" w:type="character">
    <w:name w:val="Podnožje Char"/>
    <w:basedOn w:val="Zadanifontodlomka"/>
    <w:link w:val="Podnoje"/>
    <w:uiPriority w:val="99"/>
    <w:rsid w:val="004C4651"/>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C508CC"/>
    <w:rPr>
      <w:color w:val="808080"/>
      <w:bdr w:color="auto" w:space="0" w:sz="0" w:val="none"/>
      <w:shd w:color="auto" w:fill="auto" w:val="clear"/>
    </w:rPr>
  </w:style>
  <w:style w:customStyle="1" w:styleId="eSPISCCParagraphDefaultFont" w:type="character">
    <w:name w:val="eSPIS_CC_Paragraph Default Font"/>
    <w:basedOn w:val="Zadanifontodlomka"/>
    <w:rsid w:val="00C508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08CC"/>
    <w:rPr>
      <w:bdr w:color="auto" w:space="0" w:sz="0" w:val="none"/>
      <w:shd w:color="auto" w:fill="FFFFCC" w:val="clear"/>
      <w:lang w:val="hr-HR"/>
    </w:rPr>
  </w:style>
  <w:style w:customStyle="1" w:styleId="PozadinaSvijetloCrvena" w:type="character">
    <w:name w:val="Pozadina_SvijetloCrvena"/>
    <w:basedOn w:val="eSPISCCParagraphDefaultFont"/>
    <w:rsid w:val="00C508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08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74448">
      <w:bodyDiv w:val="true"/>
      <w:marLeft w:val="0"/>
      <w:marRight w:val="0"/>
      <w:marTop w:val="0"/>
      <w:marBottom w:val="0"/>
      <w:divBdr>
        <w:top w:space="0" w:sz="0" w:color="auto" w:val="none"/>
        <w:left w:space="0" w:sz="0" w:color="auto" w:val="none"/>
        <w:bottom w:space="0" w:sz="0" w:color="auto" w:val="none"/>
        <w:right w:space="0" w:sz="0" w:color="auto" w:val="none"/>
      </w:divBdr>
    </w:div>
    <w:div w:id="588974208">
      <w:bodyDiv w:val="true"/>
      <w:marLeft w:val="0"/>
      <w:marRight w:val="0"/>
      <w:marTop w:val="0"/>
      <w:marBottom w:val="0"/>
      <w:divBdr>
        <w:top w:space="0" w:sz="0" w:color="auto" w:val="none"/>
        <w:left w:space="0" w:sz="0" w:color="auto" w:val="none"/>
        <w:bottom w:space="0" w:sz="0" w:color="auto" w:val="none"/>
        <w:right w:space="0" w:sz="0" w:color="auto" w:val="none"/>
      </w:divBdr>
    </w:div>
    <w:div w:id="690228188">
      <w:bodyDiv w:val="true"/>
      <w:marLeft w:val="0"/>
      <w:marRight w:val="0"/>
      <w:marTop w:val="0"/>
      <w:marBottom w:val="0"/>
      <w:divBdr>
        <w:top w:space="0" w:sz="0" w:color="auto" w:val="none"/>
        <w:left w:space="0" w:sz="0" w:color="auto" w:val="none"/>
        <w:bottom w:space="0" w:sz="0" w:color="auto" w:val="none"/>
        <w:right w:space="0" w:sz="0" w:color="auto" w:val="none"/>
      </w:divBdr>
    </w:div>
    <w:div w:id="711810914">
      <w:bodyDiv w:val="true"/>
      <w:marLeft w:val="0"/>
      <w:marRight w:val="0"/>
      <w:marTop w:val="0"/>
      <w:marBottom w:val="0"/>
      <w:divBdr>
        <w:top w:space="0" w:sz="0" w:color="auto" w:val="none"/>
        <w:left w:space="0" w:sz="0" w:color="auto" w:val="none"/>
        <w:bottom w:space="0" w:sz="0" w:color="auto" w:val="none"/>
        <w:right w:space="0" w:sz="0" w:color="auto" w:val="none"/>
      </w:divBdr>
    </w:div>
    <w:div w:id="763497184">
      <w:bodyDiv w:val="true"/>
      <w:marLeft w:val="0"/>
      <w:marRight w:val="0"/>
      <w:marTop w:val="0"/>
      <w:marBottom w:val="0"/>
      <w:divBdr>
        <w:top w:space="0" w:sz="0" w:color="auto" w:val="none"/>
        <w:left w:space="0" w:sz="0" w:color="auto" w:val="none"/>
        <w:bottom w:space="0" w:sz="0" w:color="auto" w:val="none"/>
        <w:right w:space="0" w:sz="0" w:color="auto" w:val="none"/>
      </w:divBdr>
    </w:div>
    <w:div w:id="1290622223">
      <w:bodyDiv w:val="true"/>
      <w:marLeft w:val="0"/>
      <w:marRight w:val="0"/>
      <w:marTop w:val="0"/>
      <w:marBottom w:val="0"/>
      <w:divBdr>
        <w:top w:space="0" w:sz="0" w:color="auto" w:val="none"/>
        <w:left w:space="0" w:sz="0" w:color="auto" w:val="none"/>
        <w:bottom w:space="0" w:sz="0" w:color="auto" w:val="none"/>
        <w:right w:space="0" w:sz="0" w:color="auto" w:val="none"/>
      </w:divBdr>
    </w:div>
    <w:div w:id="1850023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St-12/2015-302</izvorni_sadrzaj>
    <derivirana_varijabla naziv="DomainObject.Oznaka_1">St-12/2015-302</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St-12/2015-302</izvorni_sadrzaj>
    <derivirana_varijabla naziv="DomainObject.PoslovniBrojDokumenta_1">St-12/2015-302</derivirana_varijabla>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2591</properties:Characters>
  <properties:Lines>93</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2016-11-07T12:20:00Z</dcterms:created>
  <dc:creator>Damir Rabar</dc:creator>
  <cp:lastModifiedBy>Lorena Paris Aničić</cp:lastModifiedBy>
  <dcterms:modified xmlns:xsi="http://www.w3.org/2001/XMLSchema-instance" xsi:type="dcterms:W3CDTF">2016-11-08T13:51:00Z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St-12/2015-302 / Odluka - Rješenje - određivanje nagrade stečajnom upravitelju</vt:lpwstr>
  </prop:property>
  <prop:property name="CC_coloring" pid="5" fmtid="{D5CDD505-2E9C-101B-9397-08002B2CF9AE}">
    <vt:bool>false</vt:bool>
  </prop:property>
</prop:Properties>
</file>