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b96a" w14:paraId="123b96a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1F4911">
        <w:rPr>
          <w:rFonts w:hAnsi="Times New Roman" w:ascii="Times New Roman"/>
          <w:szCs w:val="24"/>
          <w:lang w:val="hr-HR"/>
        </w:rPr>
        <w:t>2/II</w:t>
      </w:r>
      <w:r w:rsidR="001F4911">
        <w:rPr>
          <w:rFonts w:hAnsi="Times New Roman" w:ascii="Times New Roman"/>
          <w:szCs w:val="24"/>
          <w:lang w:val="hr-HR"/>
        </w:rPr>
        <w:tab/>
      </w:r>
      <w:r w:rsidR="001F4911">
        <w:rPr>
          <w:rFonts w:hAnsi="Times New Roman" w:ascii="Times New Roman"/>
          <w:szCs w:val="24"/>
          <w:lang w:val="hr-HR"/>
        </w:rPr>
        <w:tab/>
      </w:r>
      <w:r w:rsidR="001F4911">
        <w:rPr>
          <w:rFonts w:hAnsi="Times New Roman" w:ascii="Times New Roman"/>
          <w:szCs w:val="24"/>
          <w:lang w:val="hr-HR"/>
        </w:rPr>
        <w:tab/>
      </w:r>
      <w:r w:rsidR="001F4911">
        <w:rPr>
          <w:rFonts w:hAnsi="Times New Roman" w:ascii="Times New Roman"/>
          <w:szCs w:val="24"/>
          <w:lang w:val="hr-HR"/>
        </w:rPr>
        <w:tab/>
      </w:r>
      <w:r w:rsidR="001F4911">
        <w:rPr>
          <w:rFonts w:hAnsi="Times New Roman" w:ascii="Times New Roman"/>
          <w:szCs w:val="24"/>
          <w:lang w:val="hr-HR"/>
        </w:rPr>
        <w:tab/>
      </w:r>
      <w:r w:rsidR="001F4911">
        <w:rPr>
          <w:rFonts w:hAnsi="Times New Roman" w:ascii="Times New Roman"/>
          <w:szCs w:val="24"/>
          <w:lang w:val="hr-HR"/>
        </w:rPr>
        <w:tab/>
        <w:t xml:space="preserve">           67. St-320</w:t>
      </w:r>
      <w:r w:rsidR="000C0ADE">
        <w:rPr>
          <w:rFonts w:hAnsi="Times New Roman" w:ascii="Times New Roman"/>
          <w:szCs w:val="24"/>
          <w:lang w:val="hr-HR"/>
        </w:rPr>
        <w:t>/</w:t>
      </w:r>
      <w:r w:rsidR="001F4911">
        <w:rPr>
          <w:rFonts w:hAnsi="Times New Roman" w:ascii="Times New Roman"/>
          <w:szCs w:val="24"/>
          <w:lang w:val="hr-HR"/>
        </w:rPr>
        <w:t>12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1F4911" w:rsidRPr="001F4911">
        <w:rPr>
          <w:rFonts w:hAnsi="Times New Roman" w:ascii="Times New Roman"/>
          <w:bCs/>
          <w:szCs w:val="24"/>
          <w:lang w:val="pt-BR"/>
        </w:rPr>
        <w:t>CONEX d.o.o. u stečaju, Zagreb, Kalinovica 3, OIB: 31578255419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1F4911">
        <w:rPr>
          <w:rFonts w:hAnsi="Times New Roman" w:ascii="Times New Roman"/>
          <w:szCs w:val="24"/>
        </w:rPr>
        <w:t>2. prosinca</w:t>
      </w:r>
      <w:r>
        <w:rPr>
          <w:rFonts w:hAnsi="Times New Roman" w:ascii="Times New Roman"/>
          <w:szCs w:val="24"/>
        </w:rPr>
        <w:t xml:space="preserve"> 2016.,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11655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1F4911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</w:t>
      </w:r>
      <w:r w:rsidR="001F4911" w:rsidRPr="001F4911">
        <w:rPr>
          <w:rFonts w:hAnsi="Times New Roman" w:ascii="Times New Roman"/>
          <w:bCs/>
          <w:szCs w:val="24"/>
          <w:lang w:val="pt-BR"/>
        </w:rPr>
        <w:t>CONEX d.o.o. u stečaju, Zagreb, Kalinovica 3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1F4911">
        <w:rPr>
          <w:rFonts w:hAnsi="Times New Roman" w:ascii="Times New Roman"/>
          <w:szCs w:val="24"/>
          <w:lang w:val="hr-HR"/>
        </w:rPr>
        <w:t xml:space="preserve"> upisanih</w:t>
      </w:r>
      <w:r w:rsidR="00673013">
        <w:rPr>
          <w:rFonts w:hAnsi="Times New Roman" w:ascii="Times New Roman"/>
          <w:szCs w:val="24"/>
          <w:lang w:val="hr-HR"/>
        </w:rPr>
        <w:t xml:space="preserve"> u zemljišnim knjigama Općinskog</w:t>
      </w:r>
      <w:r w:rsidR="00174FE8">
        <w:rPr>
          <w:rFonts w:hAnsi="Times New Roman" w:ascii="Times New Roman"/>
          <w:szCs w:val="24"/>
          <w:lang w:val="hr-HR"/>
        </w:rPr>
        <w:t xml:space="preserve"> građanskog</w:t>
      </w:r>
      <w:r w:rsidR="00673013">
        <w:rPr>
          <w:rFonts w:hAnsi="Times New Roman" w:ascii="Times New Roman"/>
          <w:szCs w:val="24"/>
          <w:lang w:val="hr-HR"/>
        </w:rPr>
        <w:t xml:space="preserve"> suda u </w:t>
      </w:r>
      <w:r w:rsidR="00174FE8">
        <w:rPr>
          <w:rFonts w:hAnsi="Times New Roman" w:ascii="Times New Roman"/>
          <w:szCs w:val="24"/>
          <w:lang w:val="hr-HR"/>
        </w:rPr>
        <w:t>Zagrebu</w:t>
      </w:r>
      <w:r w:rsidR="009C1B63">
        <w:rPr>
          <w:rFonts w:hAnsi="Times New Roman" w:ascii="Times New Roman"/>
          <w:szCs w:val="24"/>
          <w:lang w:val="hr-HR"/>
        </w:rPr>
        <w:t xml:space="preserve">, </w:t>
      </w:r>
      <w:r w:rsidR="004D24A3">
        <w:rPr>
          <w:rFonts w:hAnsi="Times New Roman" w:ascii="Times New Roman"/>
          <w:szCs w:val="24"/>
          <w:lang w:val="hr-HR"/>
        </w:rPr>
        <w:t>i</w:t>
      </w:r>
      <w:r w:rsidR="009C1B63">
        <w:rPr>
          <w:rFonts w:hAnsi="Times New Roman" w:ascii="Times New Roman"/>
          <w:szCs w:val="24"/>
          <w:lang w:val="hr-HR"/>
        </w:rPr>
        <w:t xml:space="preserve"> to</w:t>
      </w:r>
      <w:r w:rsidR="001F4911">
        <w:rPr>
          <w:rFonts w:hAnsi="Times New Roman" w:ascii="Times New Roman"/>
          <w:szCs w:val="24"/>
          <w:lang w:val="hr-HR"/>
        </w:rPr>
        <w:t>: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.59/100 idealnih dijelova kat.čest. 4670/44, upisane u z.ul. 21868, poduložak 3, k.o. Grad Zagreb, u naravi garaža u podrumu II (dva), površine 11,63 m2, oznake 7,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.52/100 idealnih dijelova kat.čest. 4670/44, upisane u z.ul. 21868, poduložak 10, k.o. Grad Zagreb, u naravi garaža u podrumu II (dva), površine 10,19 m2, oznake 14,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.49/100 idealnih dijelova kat.čest. 4670/19, upisane u z.ul. 15652, poduložak 8, k.o. Grad Zagreb, u naravi garaža u podrumu II (dva), površine 12 m2, oznake 27,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.5/100 idealnih dijelova kat.čest. 4670/19, upisane u z.ul. 15652, poduložak 9, k.o. Grad Zagreb, u naravi garaža u podrumu II (dva), površine 12,35 m2, oznake 28,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.49/100 idealnih dijelova kat.čest. 4670/19, upisane u z.ul. 15652, poduložak 10, k.o. Grad Zagreb, u naravi garaža u podrumu II (dva), površine 12,16 m2, oznake 29,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.68/100 idealnih dijelova kat.čest. 4670/19, upisane u z.ul. 15652, poduložak 14, k.o. Grad Zagreb, u naravi garaža u podrumu I (jedan), površine 16,71 m2, oznake 41,</w:t>
      </w:r>
    </w:p>
    <w:p w:rsidRDefault="001F4911" w:rsidP="001F4911" w:rsidR="001F4911" w:rsidRPr="001F4911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F4911">
        <w:rPr>
          <w:rFonts w:hAnsi="Times New Roman" w:ascii="Times New Roman"/>
          <w:szCs w:val="24"/>
          <w:lang w:val="hr-HR"/>
        </w:rPr>
        <w:t>.68/100 idealnih dijelova kat.čest. 4670/19, upisane u z.ul. 15652, poduložak 15, k.o. Grad Zagreb, u naravi garaža u podrumu I (jedan), površine 16,71 m2, oznake 42.</w:t>
      </w:r>
    </w:p>
    <w:p w:rsidRDefault="009C1B63" w:rsidP="001F4911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</w:t>
      </w:r>
      <w:r w:rsidR="001F4911">
        <w:rPr>
          <w:rFonts w:hAnsi="Times New Roman" w:ascii="Times New Roman"/>
          <w:szCs w:val="24"/>
          <w:lang w:val="hr-HR"/>
        </w:rPr>
        <w:t>vjerovnika Republike Hrvatske, Ministarstva financija, Porezne uprave.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 xml:space="preserve">ljišnoknjižnog odjela </w:t>
      </w:r>
      <w:r w:rsidR="00174FE8">
        <w:rPr>
          <w:rFonts w:hAnsi="Times New Roman" w:ascii="Times New Roman"/>
          <w:szCs w:val="24"/>
          <w:lang w:val="hr-HR"/>
        </w:rPr>
        <w:t>Općinskog građanskog suda u Zagrebu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230045" w:rsidP="00C64661" w:rsidR="00230045">
      <w:pPr>
        <w:rPr>
          <w:rFonts w:hAnsi="Times New Roman" w:ascii="Times New Roman"/>
          <w:szCs w:val="24"/>
          <w:lang w:val="hr-HR"/>
        </w:rPr>
      </w:pPr>
    </w:p>
    <w:p w:rsidRDefault="00230045" w:rsidP="00C64661" w:rsidR="00230045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lastRenderedPageBreak/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</w:t>
      </w:r>
      <w:r w:rsidR="00892A30">
        <w:rPr>
          <w:rFonts w:hAnsi="Times New Roman" w:ascii="Times New Roman"/>
          <w:szCs w:val="24"/>
        </w:rPr>
        <w:t xml:space="preserve">od </w:t>
      </w:r>
      <w:r w:rsidR="001F4911">
        <w:rPr>
          <w:rFonts w:hAnsi="Times New Roman" w:ascii="Times New Roman"/>
          <w:szCs w:val="24"/>
        </w:rPr>
        <w:t>6. lipnja 2012</w:t>
      </w:r>
      <w:r w:rsidR="00892A30">
        <w:rPr>
          <w:rFonts w:hAnsi="Times New Roman" w:ascii="Times New Roman"/>
          <w:szCs w:val="24"/>
        </w:rPr>
        <w:t>. otvoren je stečaj</w:t>
      </w:r>
      <w:r w:rsidR="001F4911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1F4911">
        <w:rPr>
          <w:rFonts w:hAnsi="Times New Roman" w:ascii="Times New Roman"/>
          <w:szCs w:val="24"/>
        </w:rPr>
        <w:t xml:space="preserve"> stečajnu masu čine i nekretnine koje su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1F4911">
        <w:rPr>
          <w:rFonts w:hAnsi="Times New Roman" w:ascii="Times New Roman"/>
          <w:szCs w:val="24"/>
        </w:rPr>
        <w:t xml:space="preserve"> da se nekretnine opisane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1F4911">
        <w:rPr>
          <w:rFonts w:hAnsi="Times New Roman" w:ascii="Times New Roman"/>
          <w:szCs w:val="24"/>
        </w:rPr>
        <w:t xml:space="preserve"> na kojima</w:t>
      </w:r>
      <w:r w:rsidR="009C1B63">
        <w:rPr>
          <w:rFonts w:hAnsi="Times New Roman" w:ascii="Times New Roman"/>
          <w:szCs w:val="24"/>
        </w:rPr>
        <w:t xml:space="preserve"> postoji razlučno pravo, proda</w:t>
      </w:r>
      <w:r w:rsidR="009256D9">
        <w:rPr>
          <w:rFonts w:hAnsi="Times New Roman" w:ascii="Times New Roman"/>
          <w:szCs w:val="24"/>
        </w:rPr>
        <w:t>j</w:t>
      </w:r>
      <w:r w:rsidR="001F4911">
        <w:rPr>
          <w:rFonts w:hAnsi="Times New Roman" w:ascii="Times New Roman"/>
          <w:szCs w:val="24"/>
        </w:rPr>
        <w:t>u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1F4911">
        <w:rPr>
          <w:rFonts w:hAnsi="Times New Roman" w:ascii="Times New Roman"/>
          <w:szCs w:val="24"/>
        </w:rPr>
        <w:t>2. prosinca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230045" w:rsidP="008E1697" w:rsidR="00230045" w:rsidRPr="003A7FBB">
      <w:pPr>
        <w:jc w:val="both"/>
        <w:rPr>
          <w:rFonts w:hAnsi="Times New Roman" w:ascii="Times New Roman"/>
          <w:szCs w:val="24"/>
        </w:rPr>
      </w:pPr>
    </w:p>
    <w:p w:rsidRDefault="001F4911" w:rsidP="001F4911" w:rsidR="001D18BF" w:rsidRPr="00310646">
      <w:pPr>
        <w:pStyle w:val="Tijeloteksta"/>
        <w:ind w:left="6372"/>
      </w:pPr>
      <w:r>
        <w:tab/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1F4911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Pr="00310646">
        <w:rPr>
          <w:rFonts w:hAnsi="Times New Roman" w:ascii="Times New Roman"/>
          <w:b w:val="false"/>
          <w:color w:val="auto"/>
          <w:szCs w:val="24"/>
        </w:rPr>
        <w:t>Gordan Zubak</w:t>
      </w:r>
      <w:r w:rsidR="00A13478">
        <w:rPr>
          <w:rFonts w:hAnsi="Times New Roman" w:ascii="Times New Roman"/>
          <w:b w:val="false"/>
          <w:color w:val="auto"/>
          <w:szCs w:val="24"/>
        </w:rPr>
        <w:t>,v.r.</w:t>
      </w:r>
      <w:r w:rsidR="0023004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30045" w:rsidR="00230045"/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230045" w:rsidP="008E1697" w:rsidR="00230045">
      <w:pPr>
        <w:jc w:val="both"/>
        <w:rPr>
          <w:rFonts w:hAnsi="Times New Roman" w:ascii="Times New Roman"/>
          <w:szCs w:val="24"/>
        </w:rPr>
      </w:pPr>
    </w:p>
    <w:p w:rsidRDefault="00C37A96" w:rsidP="008E1697" w:rsidR="00C37A96">
      <w:pPr>
        <w:jc w:val="both"/>
        <w:rPr>
          <w:rFonts w:hAnsi="Times New Roman" w:ascii="Times New Roman"/>
          <w:szCs w:val="24"/>
        </w:rPr>
      </w:pPr>
    </w:p>
    <w:p w:rsidRDefault="00230045" w:rsidP="008E1697" w:rsidR="00230045">
      <w:pPr>
        <w:jc w:val="both"/>
        <w:rPr>
          <w:rFonts w:hAnsi="Times New Roman" w:ascii="Times New Roman"/>
          <w:szCs w:val="24"/>
        </w:rPr>
      </w:pPr>
    </w:p>
    <w:p w:rsidRDefault="00A13478" w:rsidP="004E13E6" w:rsidR="00A13478" w:rsidRPr="00A13478">
      <w:pPr>
        <w:jc w:val="right"/>
        <w:rPr>
          <w:rFonts w:hAnsi="Times New Roman" w:ascii="Times New Roman"/>
        </w:rPr>
      </w:pPr>
      <w:r w:rsidRPr="00A13478">
        <w:rPr>
          <w:rFonts w:hAnsi="Times New Roman" w:ascii="Times New Roman"/>
        </w:rPr>
        <w:t>Za točnost otpravka</w:t>
      </w:r>
    </w:p>
    <w:p w:rsidRDefault="00A13478" w:rsidP="004E13E6" w:rsidR="00A13478" w:rsidRPr="00A13478">
      <w:pPr>
        <w:jc w:val="right"/>
        <w:rPr>
          <w:rFonts w:hAnsi="Times New Roman" w:ascii="Times New Roman"/>
        </w:rPr>
      </w:pPr>
      <w:r w:rsidRPr="00A13478">
        <w:rPr>
          <w:rFonts w:hAnsi="Times New Roman" w:ascii="Times New Roman"/>
        </w:rPr>
        <w:t>ovlašteni službenik</w:t>
      </w:r>
    </w:p>
    <w:p w:rsidRDefault="00A13478" w:rsidP="004E13E6" w:rsidR="00A13478" w:rsidRPr="00A13478">
      <w:pPr>
        <w:jc w:val="right"/>
        <w:rPr>
          <w:rFonts w:hAnsi="Times New Roman" w:ascii="Times New Roman"/>
        </w:rPr>
      </w:pPr>
      <w:r w:rsidRPr="00A13478">
        <w:rPr>
          <w:rFonts w:hAnsi="Times New Roman" w:ascii="Times New Roman"/>
        </w:rPr>
        <w:t>Katica Franjić</w:t>
      </w:r>
    </w:p>
    <w:p w:rsidRDefault="00B062FD" w:rsidP="004D24A3" w:rsidR="00B062FD" w:rsidRPr="00A13478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A13478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A134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A13478" w:rsidRPr="00A13478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1F4911">
      <w:rPr>
        <w:rFonts w:hAnsi="Times New Roman" w:ascii="Times New Roman"/>
      </w:rPr>
      <w:t>320/12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911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0045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347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37A96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5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</izvorni_sadrzaj>
    <derivirana_varijabla naziv="DomainObject.Predmet.StrankaFormatedWithAdress_1"> MINISTARSTVO FINANCIJA, POREZNA UPRAVA, PODRUČNI URED ZAGREB, Av Dubrovnika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</izvorni_sadrzaj>
    <derivirana_varijabla naziv="DomainObject.Predmet.StrankaFormatedWithAdressOIB_1"> MINISTARSTVO FINANCIJA, POREZNA UPRAVA, PODRUČNI URED ZAGREB, OIB 18683136487, Av Dubrovnika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 Dubrovnika 32,10000 Zagreb</izvorni_sadrzaj>
    <derivirana_varijabla naziv="DomainObject.Predmet.StrankaWithAdress_1">MINISTARSTVO FINANCIJA, POREZNA UPRAVA, PODRUČNI URED ZAGREB Av Dubrovnika 32,10000 Zagreb</derivirana_varijabla>
  </DomainObject.Predmet.StrankaWithAdress>
  <DomainObject.Predmet.StrankaWithAdressOIB>
    <izvorni_sadrzaj>MINISTARSTVO FINANCIJA, POREZNA UPRAVA, PODRUČNI URED ZAGREB, OIB 18683136487, Av Dubrovnika 32,10000 Zagreb</izvorni_sadrzaj>
    <derivirana_varijabla naziv="DomainObject.Predmet.StrankaWithAdressOIB_1">MINISTARSTVO FINANCIJA, POREZNA UPRAVA, PODRUČNI URED ZAGREB, OIB 18683136487, Av Dubrovnika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</izvorni_sadrzaj>
    <derivirana_varijabla naziv="DomainObject.Predmet.StrankaIDrugiAdressOIB_1">MINISTARSTVO FINANCIJA, POREZNA UPRAVA, PODRUČNI URED ZAGREB, OIB 18683136487, Av Dubrovnika 32,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2678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2016-12-02T11:48:00Z</dcterms:created>
  <dc:creator>stecaj</dc:creator>
  <cp:lastModifiedBy>Katica Franjić</cp:lastModifiedBy>
  <cp:lastPrinted>2016-12-02T13:28:00Z</cp:lastPrinted>
  <dcterms:modified xmlns:xsi="http://www.w3.org/2001/XMLSchema-instance" xsi:type="dcterms:W3CDTF">2016-12-02T13:28:00Z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