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5d20" w14:paraId="ff75d20" w:rsidRDefault="00B55B08" w:rsidP="00B55B08" w:rsidR="00B55B08" w:rsidRPr="00B55B08">
      <w:pPr>
        <w15:collapsed w:val="false"/>
        <w:rPr>
          <w:rFonts w:cs="Times New Roman" w:eastAsia="Calibri"/>
          <w:b/>
          <w:szCs w:val="24"/>
        </w:rPr>
      </w:pPr>
      <w:bookmarkStart w:name="_GoBack" w:id="0"/>
      <w:bookmarkEnd w:id="0"/>
      <w:r w:rsidRPr="00B55B08">
        <w:rPr>
          <w:rFonts w:cs="Times New Roman" w:eastAsia="Calibri"/>
          <w:b/>
          <w:szCs w:val="24"/>
        </w:rPr>
        <w:t>REPUBLIKA HRVATSKA                                                                      14.St-39/2008.</w:t>
      </w:r>
    </w:p>
    <w:p w:rsidRDefault="00B55B08" w:rsidP="00B55B08" w:rsidR="00B55B08" w:rsidRPr="00B55B08">
      <w:pPr>
        <w:rPr>
          <w:rFonts w:cs="Times New Roman" w:eastAsia="Calibri"/>
          <w:b/>
          <w:szCs w:val="24"/>
        </w:rPr>
      </w:pPr>
      <w:r w:rsidRPr="00B55B08">
        <w:rPr>
          <w:rFonts w:cs="Times New Roman" w:eastAsia="Calibri"/>
          <w:b/>
          <w:szCs w:val="24"/>
        </w:rPr>
        <w:t>TRGOVAČKI SUD U SPLITU</w:t>
      </w:r>
    </w:p>
    <w:p w:rsidRDefault="00B55B08" w:rsidP="00B55B08" w:rsidR="00B55B08" w:rsidRPr="00B55B08">
      <w:pPr>
        <w:rPr>
          <w:rFonts w:cs="Times New Roman" w:eastAsia="Calibri"/>
          <w:b/>
          <w:szCs w:val="24"/>
        </w:rPr>
      </w:pPr>
    </w:p>
    <w:p w:rsidRDefault="00B55B08" w:rsidP="00B55B08" w:rsidR="00B55B08" w:rsidRPr="00B55B08">
      <w:pPr>
        <w:jc w:val="center"/>
        <w:rPr>
          <w:rFonts w:cs="Times New Roman" w:eastAsia="Calibri"/>
          <w:b/>
          <w:szCs w:val="24"/>
        </w:rPr>
      </w:pPr>
      <w:r w:rsidRPr="00B55B08">
        <w:rPr>
          <w:rFonts w:cs="Times New Roman" w:eastAsia="Calibri"/>
          <w:b/>
          <w:szCs w:val="24"/>
        </w:rPr>
        <w:t>Z A P I S N I K</w:t>
      </w:r>
    </w:p>
    <w:p w:rsidRDefault="00B55B08" w:rsidP="00B55B08" w:rsidR="00B55B08" w:rsidRPr="00B55B08">
      <w:pPr>
        <w:jc w:val="both"/>
        <w:rPr>
          <w:rFonts w:cs="Times New Roman" w:eastAsia="Calibri"/>
          <w:b/>
          <w:szCs w:val="24"/>
        </w:rPr>
      </w:pPr>
    </w:p>
    <w:p w:rsidRDefault="00B55B08" w:rsidP="00B55B08" w:rsidR="00B55B08" w:rsidRPr="00B55B08">
      <w:pPr>
        <w:jc w:val="both"/>
        <w:rPr>
          <w:rFonts w:cs="Times New Roman" w:eastAsia="Calibri"/>
          <w:b/>
          <w:szCs w:val="24"/>
        </w:rPr>
      </w:pPr>
      <w:r w:rsidRPr="00B55B08">
        <w:rPr>
          <w:rFonts w:cs="Times New Roman" w:eastAsia="Calibri"/>
          <w:szCs w:val="24"/>
        </w:rPr>
        <w:t xml:space="preserve">sa Skupštine vjerovnika - Završno ročište vjerovnika, održano dana 08. ožujka 2087. godine, s početkom u 13,00 sati kod Trgovačkog suda u Splitu, u stečajnom postupku nad  stečajni dužnikom </w:t>
      </w:r>
      <w:r w:rsidRPr="00B55B08">
        <w:rPr>
          <w:rFonts w:cs="Times New Roman" w:eastAsia="Calibri"/>
          <w:b/>
          <w:szCs w:val="24"/>
        </w:rPr>
        <w:t xml:space="preserve">ELEKTRON 97, d.o.o., u stečaju, Split, </w:t>
      </w:r>
      <w:proofErr w:type="spellStart"/>
      <w:r w:rsidRPr="00B55B08">
        <w:rPr>
          <w:rFonts w:cs="Times New Roman" w:eastAsia="Calibri"/>
          <w:b/>
          <w:szCs w:val="24"/>
        </w:rPr>
        <w:t>Boktuljin</w:t>
      </w:r>
      <w:proofErr w:type="spellEnd"/>
      <w:r w:rsidRPr="00B55B08">
        <w:rPr>
          <w:rFonts w:cs="Times New Roman" w:eastAsia="Calibri"/>
          <w:b/>
          <w:szCs w:val="24"/>
        </w:rPr>
        <w:t xml:space="preserve"> put </w:t>
      </w:r>
      <w:proofErr w:type="spellStart"/>
      <w:r w:rsidRPr="00B55B08">
        <w:rPr>
          <w:rFonts w:cs="Times New Roman" w:eastAsia="Calibri"/>
          <w:b/>
          <w:szCs w:val="24"/>
        </w:rPr>
        <w:t>bb</w:t>
      </w:r>
      <w:proofErr w:type="spellEnd"/>
      <w:r w:rsidRPr="00B55B08">
        <w:rPr>
          <w:rFonts w:cs="Times New Roman" w:eastAsia="Calibri"/>
          <w:b/>
          <w:szCs w:val="24"/>
        </w:rPr>
        <w:t xml:space="preserve">, OIB: 46231404370. </w:t>
      </w:r>
    </w:p>
    <w:p w:rsidRDefault="00B55B08" w:rsidP="00B55B08" w:rsidR="00B55B08" w:rsidRPr="00B55B08">
      <w:pPr>
        <w:jc w:val="both"/>
        <w:rPr>
          <w:rFonts w:cs="Times New Roman" w:eastAsia="Calibri"/>
          <w:szCs w:val="24"/>
        </w:rPr>
      </w:pPr>
    </w:p>
    <w:p w:rsidRDefault="00B55B08" w:rsidP="00B55B08" w:rsidR="00B55B08" w:rsidRPr="00B55B08">
      <w:pPr>
        <w:jc w:val="both"/>
        <w:rPr>
          <w:rFonts w:cs="Times New Roman" w:eastAsia="Calibri"/>
          <w:szCs w:val="24"/>
        </w:rPr>
      </w:pPr>
      <w:r w:rsidRPr="00B55B08">
        <w:rPr>
          <w:rFonts w:cs="Times New Roman" w:eastAsia="Calibri"/>
          <w:szCs w:val="24"/>
        </w:rPr>
        <w:t>Sudac JOZO ĆALETA, stečajni sudac,</w:t>
      </w:r>
    </w:p>
    <w:p w:rsidRDefault="00B55B08" w:rsidP="00B55B08" w:rsidR="00B55B08" w:rsidRPr="00B55B08">
      <w:pPr>
        <w:jc w:val="both"/>
        <w:rPr>
          <w:rFonts w:cs="Times New Roman" w:eastAsia="Calibri"/>
          <w:szCs w:val="24"/>
        </w:rPr>
      </w:pPr>
      <w:r w:rsidRPr="00B55B08">
        <w:rPr>
          <w:rFonts w:cs="Times New Roman" w:eastAsia="Calibri"/>
          <w:szCs w:val="24"/>
          <w:lang w:val="fr-FR"/>
        </w:rPr>
        <w:t>VESNA ČARGO</w:t>
      </w:r>
      <w:r w:rsidRPr="00B55B08">
        <w:rPr>
          <w:rFonts w:cs="Times New Roman" w:eastAsia="Calibri"/>
          <w:szCs w:val="24"/>
        </w:rPr>
        <w:t xml:space="preserve">, </w:t>
      </w:r>
      <w:r w:rsidRPr="00B55B08">
        <w:rPr>
          <w:rFonts w:cs="Times New Roman" w:eastAsia="Calibri"/>
          <w:szCs w:val="24"/>
          <w:lang w:val="fr-FR"/>
        </w:rPr>
        <w:t>zapisni</w:t>
      </w:r>
      <w:r w:rsidRPr="00B55B08">
        <w:rPr>
          <w:rFonts w:cs="Times New Roman" w:eastAsia="Calibri"/>
          <w:szCs w:val="24"/>
        </w:rPr>
        <w:t>č</w:t>
      </w:r>
      <w:r w:rsidRPr="00B55B08">
        <w:rPr>
          <w:rFonts w:cs="Times New Roman" w:eastAsia="Calibri"/>
          <w:szCs w:val="24"/>
          <w:lang w:val="fr-FR"/>
        </w:rPr>
        <w:t>ar</w:t>
      </w:r>
      <w:r w:rsidRPr="00B55B08">
        <w:rPr>
          <w:rFonts w:cs="Times New Roman" w:eastAsia="Calibri"/>
          <w:szCs w:val="24"/>
        </w:rPr>
        <w:t>,</w:t>
      </w:r>
    </w:p>
    <w:p w:rsidRDefault="00B55B08" w:rsidP="00B55B08" w:rsidR="00B55B08" w:rsidRPr="00B55B08">
      <w:pPr>
        <w:jc w:val="both"/>
        <w:rPr>
          <w:rFonts w:cs="Times New Roman" w:eastAsia="Calibri"/>
          <w:szCs w:val="24"/>
        </w:rPr>
      </w:pPr>
    </w:p>
    <w:p w:rsidRDefault="00B55B08" w:rsidP="00B55B08" w:rsidR="00B55B08" w:rsidRPr="00B55B08">
      <w:pPr>
        <w:jc w:val="both"/>
        <w:rPr>
          <w:rFonts w:cs="Times New Roman" w:eastAsia="Calibri"/>
          <w:szCs w:val="24"/>
        </w:rPr>
      </w:pPr>
      <w:r w:rsidRPr="00B55B08">
        <w:rPr>
          <w:rFonts w:cs="Times New Roman" w:eastAsia="Calibri"/>
          <w:szCs w:val="24"/>
          <w:lang w:val="fr-FR"/>
        </w:rPr>
        <w:t>Ste</w:t>
      </w:r>
      <w:r w:rsidRPr="00B55B08">
        <w:rPr>
          <w:rFonts w:cs="Times New Roman" w:eastAsia="Calibri"/>
          <w:szCs w:val="24"/>
        </w:rPr>
        <w:t>č</w:t>
      </w:r>
      <w:r w:rsidRPr="00B55B08">
        <w:rPr>
          <w:rFonts w:cs="Times New Roman" w:eastAsia="Calibri"/>
          <w:szCs w:val="24"/>
          <w:lang w:val="fr-FR"/>
        </w:rPr>
        <w:t>ajni upravitelj JOSIP HRGA</w:t>
      </w:r>
      <w:r w:rsidRPr="00B55B08">
        <w:rPr>
          <w:rFonts w:cs="Times New Roman" w:eastAsia="Calibri"/>
          <w:szCs w:val="24"/>
        </w:rPr>
        <w:t>.</w:t>
      </w:r>
    </w:p>
    <w:p w:rsidRDefault="00B55B08" w:rsidP="00B55B08" w:rsidR="00B55B08" w:rsidRPr="00B55B08">
      <w:pPr>
        <w:jc w:val="both"/>
        <w:rPr>
          <w:rFonts w:cs="Times New Roman" w:eastAsia="Calibri"/>
          <w:szCs w:val="24"/>
        </w:rPr>
      </w:pPr>
    </w:p>
    <w:p w:rsidRDefault="00B55B08" w:rsidP="00B55B08" w:rsidR="00B55B08" w:rsidRPr="00B55B08">
      <w:pPr>
        <w:jc w:val="both"/>
        <w:rPr>
          <w:rFonts w:cs="Times New Roman" w:eastAsia="Calibri"/>
          <w:szCs w:val="24"/>
        </w:rPr>
      </w:pPr>
      <w:r w:rsidRPr="00B55B08">
        <w:rPr>
          <w:rFonts w:cs="Times New Roman" w:eastAsia="Calibri"/>
          <w:szCs w:val="24"/>
        </w:rPr>
        <w:t>Utvrđuje se kako su pristupili:</w:t>
      </w:r>
    </w:p>
    <w:p w:rsidRDefault="00B55B08" w:rsidP="00B55B08" w:rsidR="00B55B08" w:rsidRPr="00B55B08">
      <w:pPr>
        <w:numPr>
          <w:ilvl w:val="0"/>
          <w:numId w:val="1"/>
        </w:numPr>
        <w:jc w:val="both"/>
        <w:rPr>
          <w:rFonts w:cs="Times New Roman" w:eastAsia="Times New Roman"/>
          <w:szCs w:val="24"/>
          <w:lang w:eastAsia="hr-HR"/>
        </w:rPr>
      </w:pPr>
      <w:r w:rsidRPr="00B55B08">
        <w:rPr>
          <w:rFonts w:cs="Times New Roman" w:eastAsia="Times New Roman"/>
          <w:szCs w:val="24"/>
          <w:lang w:eastAsia="hr-HR"/>
        </w:rPr>
        <w:t>Dario Jukić, zamjenik ODO u Splitu a kao punomoćnik ŽDO, za vjerovnika RH</w:t>
      </w:r>
    </w:p>
    <w:p w:rsidRDefault="00B55B08" w:rsidP="00B55B08" w:rsidR="00B55B08" w:rsidRPr="00B55B08">
      <w:pPr>
        <w:jc w:val="both"/>
        <w:rPr>
          <w:rFonts w:cs="Times New Roman" w:eastAsia="Calibri"/>
          <w:szCs w:val="24"/>
        </w:rPr>
      </w:pPr>
    </w:p>
    <w:p w:rsidRDefault="00B55B08" w:rsidP="00B55B08" w:rsidR="00B55B08" w:rsidRPr="00B55B08">
      <w:pPr>
        <w:jc w:val="both"/>
        <w:rPr>
          <w:rFonts w:cs="Times New Roman" w:eastAsia="Times New Roman"/>
          <w:szCs w:val="24"/>
          <w:lang w:eastAsia="hr-HR"/>
        </w:rPr>
      </w:pPr>
      <w:r w:rsidRPr="00B55B08">
        <w:rPr>
          <w:rFonts w:cs="Times New Roman" w:eastAsia="Times New Roman"/>
          <w:szCs w:val="24"/>
          <w:lang w:eastAsia="hr-HR"/>
        </w:rPr>
        <w:t>Utvrđuje se kako je predmet današnje Skupštine vjerovnika sukladno zaključku  Suda od 02. veljače 2018. godine, sa tamo navedenom Dnevnim redom, koji zaključak je bio oglašen na e-oglasnu ploču suda.</w:t>
      </w:r>
    </w:p>
    <w:p w:rsidRDefault="00B55B08" w:rsidP="00B55B08" w:rsidR="00B55B08" w:rsidRPr="00B55B08">
      <w:pPr>
        <w:jc w:val="both"/>
        <w:rPr>
          <w:rFonts w:cs="Times New Roman" w:eastAsia="Times New Roman"/>
          <w:szCs w:val="24"/>
          <w:lang w:eastAsia="hr-HR"/>
        </w:rPr>
      </w:pPr>
    </w:p>
    <w:p w:rsidRDefault="00B55B08" w:rsidP="005056AF" w:rsidR="00B55B08" w:rsidRPr="00B55B08">
      <w:pPr>
        <w:numPr>
          <w:ilvl w:val="0"/>
          <w:numId w:val="2"/>
        </w:numPr>
        <w:ind w:firstLine="360" w:left="0"/>
        <w:contextualSpacing/>
        <w:jc w:val="both"/>
        <w:rPr>
          <w:rFonts w:cs="Times New Roman" w:eastAsia="Times New Roman"/>
          <w:szCs w:val="24"/>
        </w:rPr>
      </w:pPr>
      <w:r w:rsidRPr="00B55B08">
        <w:rPr>
          <w:rFonts w:cs="Times New Roman" w:eastAsia="Times New Roman"/>
          <w:szCs w:val="24"/>
        </w:rPr>
        <w:t xml:space="preserve">Prelazi se na prvu točku Dnevnog reda u sklopu koje točke se stečajni </w:t>
      </w:r>
      <w:proofErr w:type="spellStart"/>
      <w:r w:rsidRPr="00B55B08">
        <w:rPr>
          <w:rFonts w:cs="Times New Roman" w:eastAsia="Times New Roman"/>
          <w:szCs w:val="24"/>
        </w:rPr>
        <w:t>upr</w:t>
      </w:r>
      <w:proofErr w:type="spellEnd"/>
      <w:r w:rsidRPr="00B55B08">
        <w:rPr>
          <w:rFonts w:cs="Times New Roman" w:eastAsia="Times New Roman"/>
          <w:szCs w:val="24"/>
        </w:rPr>
        <w:t>. poziva podnijeti Izvješće sukladno istoj točki Dnevnog reda nakon čega isti iznosi sukladno svom pismenom Izvješću dostavljeno sudu dana 06. ožujka 2018. godine koje se čita i obrazlaže. Isto je pismeno Izvješće bilo objavljeno na e-</w:t>
      </w:r>
      <w:proofErr w:type="spellStart"/>
      <w:r w:rsidRPr="00B55B08">
        <w:rPr>
          <w:rFonts w:cs="Times New Roman" w:eastAsia="Times New Roman"/>
          <w:szCs w:val="24"/>
        </w:rPr>
        <w:t>ogl</w:t>
      </w:r>
      <w:proofErr w:type="spellEnd"/>
      <w:r w:rsidRPr="00B55B08">
        <w:rPr>
          <w:rFonts w:cs="Times New Roman" w:eastAsia="Times New Roman"/>
          <w:szCs w:val="24"/>
        </w:rPr>
        <w:t>. ploči suda od tada do danas.</w:t>
      </w:r>
    </w:p>
    <w:p w:rsidRDefault="00B55B08" w:rsidP="00B55B08" w:rsidR="00B55B08" w:rsidRPr="00B55B08">
      <w:pPr>
        <w:ind w:left="720"/>
        <w:contextualSpacing/>
        <w:jc w:val="both"/>
        <w:rPr>
          <w:rFonts w:cs="Times New Roman" w:eastAsia="Times New Roman"/>
          <w:szCs w:val="24"/>
        </w:rPr>
      </w:pPr>
    </w:p>
    <w:p w:rsidRDefault="00B55B08" w:rsidP="00B55B08" w:rsidR="00B55B08" w:rsidRPr="00B55B08">
      <w:pPr>
        <w:contextualSpacing/>
        <w:jc w:val="both"/>
        <w:rPr>
          <w:rFonts w:cs="Times New Roman" w:eastAsia="Times New Roman"/>
          <w:szCs w:val="24"/>
        </w:rPr>
      </w:pPr>
      <w:r w:rsidRPr="00B55B08">
        <w:rPr>
          <w:rFonts w:cs="Times New Roman" w:eastAsia="Times New Roman"/>
          <w:szCs w:val="24"/>
        </w:rPr>
        <w:t xml:space="preserve">Na posebno pitanje pun RH stečajni </w:t>
      </w:r>
      <w:proofErr w:type="spellStart"/>
      <w:r w:rsidRPr="00B55B08">
        <w:rPr>
          <w:rFonts w:cs="Times New Roman" w:eastAsia="Times New Roman"/>
          <w:szCs w:val="24"/>
        </w:rPr>
        <w:t>upr</w:t>
      </w:r>
      <w:proofErr w:type="spellEnd"/>
      <w:r w:rsidRPr="00B55B08">
        <w:rPr>
          <w:rFonts w:cs="Times New Roman" w:eastAsia="Times New Roman"/>
          <w:szCs w:val="24"/>
        </w:rPr>
        <w:t>. ističe kako u ovom postupku nije bilo nikakvih prihoda, niti jedne kune , u računu prihoda i rashoda, u tablici rashoda naveden je ukupan iznos rashoda od 50.564,00 kuna ali ti rashodi nisu podmireni ni u jednom iznosu. Oni će biti podmireni kada se unovči stečajna masa, nekretnina Dužnika, koja bi se trebala unovčavati pred Općinskim sudom u Splitu za koju nadležnost je očekivati odluku Vrhovnog suda RH, imajući u vidu kako je ovaj sud dopisom od 05. prosinca 2017. godine zatražio od Vrhovnog suda RH donošenje odluke o sukobu nadležnosti između ovog suda i Općinskog suda u Splitu a vezano za unovčenje nekretnine Dužnika. Isti dopis Vrhovnom sudu je oglašen. preko e-oglasne ploče suda od 05. prosinca</w:t>
      </w:r>
      <w:r w:rsidR="005056AF">
        <w:rPr>
          <w:rFonts w:cs="Times New Roman" w:eastAsia="Times New Roman"/>
          <w:szCs w:val="24"/>
        </w:rPr>
        <w:t xml:space="preserve"> 2017.</w:t>
      </w:r>
      <w:r w:rsidRPr="00B55B08">
        <w:rPr>
          <w:rFonts w:cs="Times New Roman" w:eastAsia="Times New Roman"/>
          <w:szCs w:val="24"/>
        </w:rPr>
        <w:t xml:space="preserve">  Unovčenje te nekretnine od strane Općinskog suda u Splitu  očekivano je kako će trajati znatno dugo, radi čega je i predložio ovaj postupak obustaviti i zaključiti jer stečajne mase za sada nema a ni za unovčiti. Nakon što se Dužnik briše iz registra, stečajni postupak će nastaviti teći kao stečajna masa iza ELEKTRON 97 d.o.o. u stečaju. Sve to imajući u vidu kako ovaj stečajni postupak se vodi već 10 godina a bez ikakvog imovinskog efekta za stečajne vjerovnike i stečajni postupak.</w:t>
      </w:r>
    </w:p>
    <w:p w:rsidRDefault="00B55B08" w:rsidP="00B55B08" w:rsidR="00B55B08">
      <w:pPr>
        <w:contextualSpacing/>
        <w:jc w:val="both"/>
        <w:rPr>
          <w:rFonts w:cs="Times New Roman" w:eastAsia="Times New Roman"/>
          <w:szCs w:val="24"/>
        </w:rPr>
      </w:pPr>
      <w:r w:rsidRPr="00B55B08">
        <w:rPr>
          <w:rFonts w:cs="Times New Roman" w:eastAsia="Times New Roman"/>
          <w:szCs w:val="24"/>
        </w:rPr>
        <w:t xml:space="preserve">Na daljnje pitanje vjerovnika RH koliki predujam bi vjerovnici trebali predujmiti koji se namjeravaju protivi obustavi i zaključenju stečajnog postupka stečajni </w:t>
      </w:r>
      <w:proofErr w:type="spellStart"/>
      <w:r w:rsidRPr="00B55B08">
        <w:rPr>
          <w:rFonts w:cs="Times New Roman" w:eastAsia="Times New Roman"/>
          <w:szCs w:val="24"/>
        </w:rPr>
        <w:t>upr</w:t>
      </w:r>
      <w:proofErr w:type="spellEnd"/>
      <w:r w:rsidRPr="00B55B08">
        <w:rPr>
          <w:rFonts w:cs="Times New Roman" w:eastAsia="Times New Roman"/>
          <w:szCs w:val="24"/>
        </w:rPr>
        <w:t>. procjenjuje 100.000,00 kuna.</w:t>
      </w:r>
    </w:p>
    <w:p w:rsidRDefault="005056AF" w:rsidP="00B55B08" w:rsidR="005056AF" w:rsidRPr="00B55B08">
      <w:pPr>
        <w:contextualSpacing/>
        <w:jc w:val="both"/>
        <w:rPr>
          <w:rFonts w:cs="Times New Roman" w:eastAsia="Times New Roman"/>
          <w:szCs w:val="24"/>
        </w:rPr>
      </w:pPr>
    </w:p>
    <w:p w:rsidRDefault="00B55B08" w:rsidP="00B55B08" w:rsidR="00B55B08" w:rsidRPr="00B55B08">
      <w:pPr>
        <w:contextualSpacing/>
        <w:jc w:val="center"/>
        <w:rPr>
          <w:rFonts w:cs="Times New Roman" w:eastAsia="Times New Roman"/>
          <w:szCs w:val="24"/>
        </w:rPr>
      </w:pPr>
      <w:r w:rsidRPr="00B55B08">
        <w:rPr>
          <w:rFonts w:cs="Times New Roman" w:eastAsia="Times New Roman"/>
          <w:szCs w:val="24"/>
        </w:rPr>
        <w:lastRenderedPageBreak/>
        <w:t>-2-</w:t>
      </w:r>
    </w:p>
    <w:p w:rsidRDefault="00B55B08" w:rsidP="00B55B08" w:rsidR="00B55B08" w:rsidRPr="00B55B08">
      <w:pPr>
        <w:contextualSpacing/>
        <w:jc w:val="both"/>
        <w:rPr>
          <w:rFonts w:cs="Times New Roman" w:eastAsia="Times New Roman"/>
          <w:szCs w:val="24"/>
        </w:rPr>
      </w:pPr>
    </w:p>
    <w:p w:rsidRDefault="00B55B08" w:rsidP="00B55B08" w:rsidR="00B55B08" w:rsidRPr="00B55B08">
      <w:pPr>
        <w:contextualSpacing/>
        <w:jc w:val="both"/>
        <w:rPr>
          <w:rFonts w:cs="Times New Roman" w:eastAsia="Times New Roman"/>
          <w:szCs w:val="24"/>
        </w:rPr>
      </w:pPr>
    </w:p>
    <w:p w:rsidRDefault="00B55B08" w:rsidP="00B55B08" w:rsidR="00B55B08" w:rsidRPr="00B55B08">
      <w:pPr>
        <w:contextualSpacing/>
        <w:jc w:val="both"/>
        <w:rPr>
          <w:rFonts w:cs="Times New Roman" w:eastAsia="Times New Roman"/>
          <w:szCs w:val="24"/>
        </w:rPr>
      </w:pPr>
      <w:r w:rsidRPr="00B55B08">
        <w:rPr>
          <w:rFonts w:cs="Times New Roman" w:eastAsia="Times New Roman"/>
          <w:szCs w:val="24"/>
        </w:rPr>
        <w:t xml:space="preserve">Zastupnik  ističe kako su slabi izgledi da će ovaj vjerovnik, makar i djelomično predujmiti troškove po kojima je gore govorio stečajni </w:t>
      </w:r>
      <w:proofErr w:type="spellStart"/>
      <w:r w:rsidRPr="00B55B08">
        <w:rPr>
          <w:rFonts w:cs="Times New Roman" w:eastAsia="Times New Roman"/>
          <w:szCs w:val="24"/>
        </w:rPr>
        <w:t>upr</w:t>
      </w:r>
      <w:proofErr w:type="spellEnd"/>
      <w:r w:rsidRPr="00B55B08">
        <w:rPr>
          <w:rFonts w:cs="Times New Roman" w:eastAsia="Times New Roman"/>
          <w:szCs w:val="24"/>
        </w:rPr>
        <w:t xml:space="preserve">., međutim mišljenja je kako je tako pravo potrebno omogućiti i drugim vjerovnicima pa se oni u toliko mogu pozvati i na predujam ukoliko sud ocjeni da je to potrebno. </w:t>
      </w:r>
    </w:p>
    <w:p w:rsidRDefault="00B55B08" w:rsidP="00B55B08" w:rsidR="00B55B08" w:rsidRPr="00B55B08">
      <w:pPr>
        <w:contextualSpacing/>
        <w:jc w:val="both"/>
        <w:rPr>
          <w:rFonts w:cs="Times New Roman" w:eastAsia="Times New Roman"/>
          <w:szCs w:val="24"/>
        </w:rPr>
      </w:pPr>
    </w:p>
    <w:p w:rsidRDefault="00B55B08" w:rsidP="00B55B08" w:rsidR="00B55B08" w:rsidRPr="00B55B08">
      <w:pPr>
        <w:contextualSpacing/>
        <w:jc w:val="both"/>
        <w:rPr>
          <w:rFonts w:cs="Times New Roman" w:eastAsia="Times New Roman"/>
          <w:szCs w:val="24"/>
        </w:rPr>
      </w:pPr>
      <w:r w:rsidRPr="00B55B08">
        <w:rPr>
          <w:rFonts w:cs="Times New Roman" w:eastAsia="Times New Roman"/>
          <w:szCs w:val="24"/>
        </w:rPr>
        <w:t xml:space="preserve">Na daljnje pitanje vjerovnika RH, stečajni </w:t>
      </w:r>
      <w:proofErr w:type="spellStart"/>
      <w:r w:rsidRPr="00B55B08">
        <w:rPr>
          <w:rFonts w:cs="Times New Roman" w:eastAsia="Times New Roman"/>
          <w:szCs w:val="24"/>
        </w:rPr>
        <w:t>upr</w:t>
      </w:r>
      <w:proofErr w:type="spellEnd"/>
      <w:r w:rsidRPr="00B55B08">
        <w:rPr>
          <w:rFonts w:cs="Times New Roman" w:eastAsia="Times New Roman"/>
          <w:szCs w:val="24"/>
        </w:rPr>
        <w:t xml:space="preserve"> ističe kako nekretnina – zgrada Dužnika  u </w:t>
      </w:r>
      <w:proofErr w:type="spellStart"/>
      <w:r w:rsidRPr="00B55B08">
        <w:rPr>
          <w:rFonts w:cs="Times New Roman" w:eastAsia="Times New Roman"/>
          <w:szCs w:val="24"/>
        </w:rPr>
        <w:t>Dugopolju</w:t>
      </w:r>
      <w:proofErr w:type="spellEnd"/>
      <w:r w:rsidRPr="00B55B08">
        <w:rPr>
          <w:rFonts w:cs="Times New Roman" w:eastAsia="Times New Roman"/>
          <w:szCs w:val="24"/>
        </w:rPr>
        <w:t xml:space="preserve"> nije osiguran niti je itko čuva. jednom je napravio bravu na vratima ali je nakon nekog vremena brava razbijena. Drugom prilikom je popravio razbijeno staklo ali je nakon nekog vremena staklo opet razbijeno, dali zbog provale od strane lopova ili zbog udara vjetrova ili drugih okolnosti nije mu poznato. Kada je ocijenio predujam od 100.000,00 kuna za troškove stečajnog postupka u slučaju da bi se neki vjerovnik protivi obustavi i zaključenju stečajnog postupka, mislio je i na troškove čuvanja i održavanja iste nekretnine-zgrade u </w:t>
      </w:r>
      <w:proofErr w:type="spellStart"/>
      <w:r w:rsidRPr="00B55B08">
        <w:rPr>
          <w:rFonts w:cs="Times New Roman" w:eastAsia="Times New Roman"/>
          <w:szCs w:val="24"/>
        </w:rPr>
        <w:t>Dugopolju</w:t>
      </w:r>
      <w:proofErr w:type="spellEnd"/>
      <w:r w:rsidRPr="00B55B08">
        <w:rPr>
          <w:rFonts w:cs="Times New Roman" w:eastAsia="Times New Roman"/>
          <w:szCs w:val="24"/>
        </w:rPr>
        <w:t xml:space="preserve">. Ističe kako je teško očekivati da će bilo koji vjerovnik predujmiti i najmanji iznos za troškove postupka pa odluku o potrebi  pozivanja vjerovnika prepušta sudu ali ističe kako kao stečajni </w:t>
      </w:r>
      <w:proofErr w:type="spellStart"/>
      <w:r w:rsidRPr="00B55B08">
        <w:rPr>
          <w:rFonts w:cs="Times New Roman" w:eastAsia="Times New Roman"/>
          <w:szCs w:val="24"/>
        </w:rPr>
        <w:t>upr</w:t>
      </w:r>
      <w:proofErr w:type="spellEnd"/>
      <w:r w:rsidRPr="00B55B08">
        <w:rPr>
          <w:rFonts w:cs="Times New Roman" w:eastAsia="Times New Roman"/>
          <w:szCs w:val="24"/>
        </w:rPr>
        <w:t>. ima iskustva da vjerovnici ne predujmljuju sredstva za troškove stečajnog postupka u ovakvim i sličnim slučajevima, jer iste troškove kasnije teško mogu vratiti.</w:t>
      </w:r>
    </w:p>
    <w:p w:rsidRDefault="00B55B08" w:rsidP="00B55B08" w:rsidR="00B55B08" w:rsidRPr="00B55B08">
      <w:pPr>
        <w:contextualSpacing/>
        <w:jc w:val="both"/>
        <w:rPr>
          <w:rFonts w:cs="Times New Roman" w:eastAsia="Times New Roman"/>
          <w:szCs w:val="24"/>
        </w:rPr>
      </w:pPr>
    </w:p>
    <w:p w:rsidRDefault="00B55B08" w:rsidP="005056AF" w:rsidR="00B55B08" w:rsidRPr="00B55B08">
      <w:pPr>
        <w:numPr>
          <w:ilvl w:val="0"/>
          <w:numId w:val="2"/>
        </w:numPr>
        <w:ind w:firstLine="425" w:left="142"/>
        <w:contextualSpacing/>
        <w:jc w:val="both"/>
        <w:rPr>
          <w:rFonts w:cs="Times New Roman" w:eastAsia="Times New Roman"/>
          <w:szCs w:val="24"/>
        </w:rPr>
      </w:pPr>
      <w:r w:rsidRPr="00B55B08">
        <w:rPr>
          <w:rFonts w:cs="Times New Roman" w:eastAsia="Times New Roman"/>
          <w:szCs w:val="24"/>
        </w:rPr>
        <w:t xml:space="preserve">Prelazi se na točku dva Dnevnog reda u sklopu koje točke stečajni </w:t>
      </w:r>
      <w:proofErr w:type="spellStart"/>
      <w:r w:rsidRPr="00B55B08">
        <w:rPr>
          <w:rFonts w:cs="Times New Roman" w:eastAsia="Times New Roman"/>
          <w:szCs w:val="24"/>
        </w:rPr>
        <w:t>upr</w:t>
      </w:r>
      <w:proofErr w:type="spellEnd"/>
      <w:r w:rsidRPr="00B55B08">
        <w:rPr>
          <w:rFonts w:cs="Times New Roman" w:eastAsia="Times New Roman"/>
          <w:szCs w:val="24"/>
        </w:rPr>
        <w:t xml:space="preserve">. ističe kako je  ista raspravljena u sklopu prve točke Dnevnog reda  stečajni </w:t>
      </w:r>
      <w:proofErr w:type="spellStart"/>
      <w:r w:rsidRPr="00B55B08">
        <w:rPr>
          <w:rFonts w:cs="Times New Roman" w:eastAsia="Times New Roman"/>
          <w:szCs w:val="24"/>
        </w:rPr>
        <w:t>upr</w:t>
      </w:r>
      <w:proofErr w:type="spellEnd"/>
      <w:r w:rsidRPr="00B55B08">
        <w:rPr>
          <w:rFonts w:cs="Times New Roman" w:eastAsia="Times New Roman"/>
          <w:szCs w:val="24"/>
        </w:rPr>
        <w:t>. ističe kako ustraje u obustavi i zaključenju ovog postupka i nakon brisanja Dužnika iz sudskog registra, nastavljanja istog postupka kao stečajne mase.</w:t>
      </w:r>
    </w:p>
    <w:p w:rsidRDefault="00B55B08" w:rsidP="00B55B08" w:rsidR="00B55B08" w:rsidRPr="00B55B08">
      <w:pPr>
        <w:contextualSpacing/>
        <w:jc w:val="both"/>
        <w:rPr>
          <w:rFonts w:cs="Times New Roman" w:eastAsia="Times New Roman"/>
          <w:szCs w:val="24"/>
        </w:rPr>
      </w:pPr>
    </w:p>
    <w:p w:rsidRDefault="00B55B08" w:rsidP="005056AF" w:rsidR="00B55B08" w:rsidRPr="00B55B08">
      <w:pPr>
        <w:ind w:hanging="578" w:left="720"/>
        <w:contextualSpacing/>
        <w:jc w:val="both"/>
        <w:rPr>
          <w:rFonts w:cs="Times New Roman" w:eastAsia="Times New Roman"/>
          <w:szCs w:val="24"/>
        </w:rPr>
      </w:pPr>
      <w:r w:rsidRPr="00B55B08">
        <w:rPr>
          <w:rFonts w:cs="Times New Roman" w:eastAsia="Times New Roman"/>
          <w:szCs w:val="24"/>
        </w:rPr>
        <w:t>Prisutni zastupnik po zakonu RH odluku prepušta sudu</w:t>
      </w:r>
      <w:r w:rsidR="005056AF">
        <w:rPr>
          <w:rFonts w:cs="Times New Roman" w:eastAsia="Times New Roman"/>
          <w:szCs w:val="24"/>
        </w:rPr>
        <w:t>.</w:t>
      </w:r>
    </w:p>
    <w:p w:rsidRDefault="00B55B08" w:rsidP="00B55B08" w:rsidR="00B55B08" w:rsidRPr="00B55B08">
      <w:pPr>
        <w:ind w:left="720"/>
        <w:contextualSpacing/>
        <w:jc w:val="both"/>
        <w:rPr>
          <w:rFonts w:cs="Times New Roman" w:eastAsia="Times New Roman"/>
          <w:szCs w:val="24"/>
        </w:rPr>
      </w:pPr>
    </w:p>
    <w:p w:rsidRDefault="00B55B08" w:rsidP="00B55B08" w:rsidR="00B55B08" w:rsidRPr="00B55B08">
      <w:pPr>
        <w:numPr>
          <w:ilvl w:val="0"/>
          <w:numId w:val="2"/>
        </w:numPr>
        <w:jc w:val="both"/>
        <w:rPr>
          <w:rFonts w:cs="Times New Roman" w:eastAsia="Times New Roman"/>
          <w:szCs w:val="24"/>
          <w:lang w:eastAsia="hr-HR"/>
        </w:rPr>
      </w:pPr>
      <w:r w:rsidRPr="00B55B08">
        <w:rPr>
          <w:rFonts w:cs="Times New Roman" w:eastAsia="Times New Roman"/>
          <w:szCs w:val="24"/>
          <w:lang w:eastAsia="hr-HR"/>
        </w:rPr>
        <w:t>Prelazi se na točku RAZNO.</w:t>
      </w:r>
    </w:p>
    <w:p w:rsidRDefault="00B55B08" w:rsidP="00B55B08" w:rsidR="00B55B08" w:rsidRPr="00B55B08">
      <w:pPr>
        <w:jc w:val="both"/>
        <w:rPr>
          <w:rFonts w:cs="Times New Roman" w:eastAsia="Times New Roman"/>
          <w:szCs w:val="24"/>
          <w:lang w:eastAsia="hr-HR"/>
        </w:rPr>
      </w:pPr>
    </w:p>
    <w:p w:rsidRDefault="00B55B08" w:rsidP="00B55B08" w:rsidR="00B55B08" w:rsidRPr="00B55B08">
      <w:pPr>
        <w:jc w:val="both"/>
        <w:rPr>
          <w:rFonts w:cs="Times New Roman" w:eastAsia="Times New Roman"/>
          <w:szCs w:val="24"/>
          <w:lang w:eastAsia="hr-HR"/>
        </w:rPr>
      </w:pPr>
      <w:r w:rsidRPr="00B55B08">
        <w:rPr>
          <w:rFonts w:cs="Times New Roman" w:eastAsia="Times New Roman"/>
          <w:szCs w:val="24"/>
          <w:lang w:eastAsia="hr-HR"/>
        </w:rPr>
        <w:t>Upitani izjavljuju kako nemaju ništa za dodati pod točkom razno</w:t>
      </w:r>
    </w:p>
    <w:p w:rsidRDefault="00B55B08" w:rsidP="00B55B08" w:rsidR="00B55B08" w:rsidRPr="00B55B08">
      <w:pPr>
        <w:jc w:val="both"/>
        <w:rPr>
          <w:rFonts w:cs="Times New Roman" w:eastAsia="Times New Roman"/>
          <w:szCs w:val="24"/>
          <w:lang w:eastAsia="hr-HR"/>
        </w:rPr>
      </w:pPr>
    </w:p>
    <w:p w:rsidRDefault="00B55B08" w:rsidP="00B55B08" w:rsidR="00B55B08" w:rsidRPr="00B55B08">
      <w:pPr>
        <w:jc w:val="both"/>
        <w:rPr>
          <w:rFonts w:cs="Times New Roman" w:eastAsia="Times New Roman"/>
          <w:szCs w:val="24"/>
          <w:lang w:eastAsia="hr-HR"/>
        </w:rPr>
      </w:pPr>
      <w:r w:rsidRPr="00B55B08">
        <w:rPr>
          <w:rFonts w:cs="Times New Roman" w:eastAsia="Times New Roman"/>
          <w:szCs w:val="24"/>
          <w:lang w:eastAsia="hr-HR"/>
        </w:rPr>
        <w:t>Sud donosi</w:t>
      </w:r>
    </w:p>
    <w:p w:rsidRDefault="00B55B08" w:rsidP="00B55B08" w:rsidR="00B55B08" w:rsidRPr="00B55B08">
      <w:pPr>
        <w:jc w:val="both"/>
        <w:rPr>
          <w:rFonts w:cs="Times New Roman" w:eastAsia="Times New Roman"/>
          <w:szCs w:val="24"/>
          <w:lang w:eastAsia="hr-HR"/>
        </w:rPr>
      </w:pPr>
    </w:p>
    <w:p w:rsidRDefault="00B55B08" w:rsidP="00B55B08" w:rsidR="00B55B08" w:rsidRPr="00B55B08">
      <w:pPr>
        <w:jc w:val="center"/>
        <w:rPr>
          <w:rFonts w:cs="Times New Roman" w:eastAsia="Times New Roman"/>
          <w:szCs w:val="24"/>
          <w:lang w:eastAsia="hr-HR"/>
        </w:rPr>
      </w:pPr>
      <w:r w:rsidRPr="00B55B08">
        <w:rPr>
          <w:rFonts w:cs="Times New Roman" w:eastAsia="Times New Roman"/>
          <w:szCs w:val="24"/>
          <w:lang w:eastAsia="hr-HR"/>
        </w:rPr>
        <w:t>ZAKLJUČAK</w:t>
      </w:r>
    </w:p>
    <w:p w:rsidRDefault="00B55B08" w:rsidP="00B55B08" w:rsidR="00B55B08" w:rsidRPr="00B55B08">
      <w:pPr>
        <w:jc w:val="both"/>
        <w:rPr>
          <w:rFonts w:cs="Times New Roman" w:eastAsia="Times New Roman"/>
          <w:szCs w:val="24"/>
          <w:lang w:eastAsia="hr-HR"/>
        </w:rPr>
      </w:pPr>
    </w:p>
    <w:p w:rsidRDefault="00B55B08" w:rsidP="00B55B08" w:rsidR="00B55B08" w:rsidRPr="00B55B08">
      <w:pPr>
        <w:jc w:val="both"/>
        <w:rPr>
          <w:rFonts w:cs="Times New Roman" w:eastAsia="Times New Roman"/>
          <w:szCs w:val="24"/>
          <w:lang w:eastAsia="hr-HR"/>
        </w:rPr>
      </w:pPr>
      <w:r w:rsidRPr="00B55B08">
        <w:rPr>
          <w:rFonts w:cs="Times New Roman" w:eastAsia="Times New Roman"/>
          <w:szCs w:val="24"/>
          <w:lang w:eastAsia="hr-HR"/>
        </w:rPr>
        <w:t xml:space="preserve">O prijedlogu stečajnog </w:t>
      </w:r>
      <w:proofErr w:type="spellStart"/>
      <w:r w:rsidRPr="00B55B08">
        <w:rPr>
          <w:rFonts w:cs="Times New Roman" w:eastAsia="Times New Roman"/>
          <w:szCs w:val="24"/>
          <w:lang w:eastAsia="hr-HR"/>
        </w:rPr>
        <w:t>upr</w:t>
      </w:r>
      <w:proofErr w:type="spellEnd"/>
      <w:r w:rsidRPr="00B55B08">
        <w:rPr>
          <w:rFonts w:cs="Times New Roman" w:eastAsia="Times New Roman"/>
          <w:szCs w:val="24"/>
          <w:lang w:eastAsia="hr-HR"/>
        </w:rPr>
        <w:t xml:space="preserve">. za obustavu i zaključenje ovog stečajnog postupka  sud će odlučiti </w:t>
      </w:r>
      <w:proofErr w:type="spellStart"/>
      <w:r w:rsidRPr="00B55B08">
        <w:rPr>
          <w:rFonts w:cs="Times New Roman" w:eastAsia="Times New Roman"/>
          <w:szCs w:val="24"/>
          <w:lang w:eastAsia="hr-HR"/>
        </w:rPr>
        <w:t>izvanraspravno</w:t>
      </w:r>
      <w:proofErr w:type="spellEnd"/>
      <w:r w:rsidRPr="00B55B08">
        <w:rPr>
          <w:rFonts w:cs="Times New Roman" w:eastAsia="Times New Roman"/>
          <w:szCs w:val="24"/>
          <w:lang w:eastAsia="hr-HR"/>
        </w:rPr>
        <w:t xml:space="preserve"> a vjerovnici će o daljnjem tijeku postupka biti obavještavani preko e-</w:t>
      </w:r>
      <w:proofErr w:type="spellStart"/>
      <w:r w:rsidRPr="00B55B08">
        <w:rPr>
          <w:rFonts w:cs="Times New Roman" w:eastAsia="Times New Roman"/>
          <w:szCs w:val="24"/>
          <w:lang w:eastAsia="hr-HR"/>
        </w:rPr>
        <w:t>ogl</w:t>
      </w:r>
      <w:proofErr w:type="spellEnd"/>
      <w:r w:rsidRPr="00B55B08">
        <w:rPr>
          <w:rFonts w:cs="Times New Roman" w:eastAsia="Times New Roman"/>
          <w:szCs w:val="24"/>
          <w:lang w:eastAsia="hr-HR"/>
        </w:rPr>
        <w:t>. ploče suda.</w:t>
      </w:r>
    </w:p>
    <w:p w:rsidRDefault="00B55B08" w:rsidP="00B55B08" w:rsidR="00B55B08" w:rsidRPr="00B55B08">
      <w:pPr>
        <w:jc w:val="both"/>
        <w:rPr>
          <w:rFonts w:cs="Times New Roman" w:eastAsia="Times New Roman"/>
          <w:szCs w:val="24"/>
          <w:lang w:eastAsia="hr-HR"/>
        </w:rPr>
      </w:pPr>
    </w:p>
    <w:p w:rsidRDefault="00B55B08" w:rsidP="00B55B08" w:rsidR="00B55B08" w:rsidRPr="00B55B08">
      <w:pPr>
        <w:jc w:val="both"/>
        <w:rPr>
          <w:rFonts w:cs="Times New Roman" w:eastAsia="Times New Roman"/>
          <w:szCs w:val="24"/>
          <w:lang w:eastAsia="hr-HR"/>
        </w:rPr>
      </w:pPr>
      <w:r w:rsidRPr="00B55B08">
        <w:rPr>
          <w:rFonts w:cs="Times New Roman" w:eastAsia="Times New Roman"/>
          <w:szCs w:val="24"/>
          <w:lang w:eastAsia="hr-HR"/>
        </w:rPr>
        <w:t>Skupština vjerovnika dovršena.</w:t>
      </w:r>
    </w:p>
    <w:p w:rsidRDefault="00B55B08" w:rsidP="00B55B08" w:rsidR="00B55B08" w:rsidRPr="00B55B08">
      <w:pPr>
        <w:jc w:val="both"/>
        <w:rPr>
          <w:rFonts w:cs="Times New Roman" w:eastAsia="Times New Roman"/>
          <w:szCs w:val="24"/>
          <w:lang w:eastAsia="hr-HR"/>
        </w:rPr>
      </w:pPr>
    </w:p>
    <w:p w:rsidRDefault="00B55B08" w:rsidP="00B55B08" w:rsidR="00B55B08" w:rsidRPr="00B55B08">
      <w:pPr>
        <w:jc w:val="both"/>
        <w:rPr>
          <w:rFonts w:cs="Times New Roman" w:eastAsia="Times New Roman"/>
          <w:szCs w:val="24"/>
          <w:lang w:eastAsia="hr-HR"/>
        </w:rPr>
      </w:pPr>
      <w:r w:rsidRPr="00B55B08">
        <w:rPr>
          <w:rFonts w:cs="Times New Roman" w:eastAsia="Times New Roman"/>
          <w:szCs w:val="24"/>
          <w:lang w:eastAsia="hr-HR"/>
        </w:rPr>
        <w:t>Dovršeno u  12,20 sati.</w:t>
      </w:r>
    </w:p>
    <w:p w:rsidRDefault="00B55B08" w:rsidP="00B55B08" w:rsidR="00B55B08" w:rsidRPr="00B55B08">
      <w:pPr>
        <w:jc w:val="both"/>
        <w:rPr>
          <w:rFonts w:cs="Times New Roman" w:eastAsia="Times New Roman"/>
          <w:szCs w:val="24"/>
          <w:lang w:eastAsia="hr-HR"/>
        </w:rPr>
      </w:pPr>
    </w:p>
    <w:p w:rsidRDefault="00B55B08" w:rsidP="00B55B08" w:rsidR="00704E2C">
      <w:pPr>
        <w:jc w:val="both"/>
      </w:pPr>
      <w:r w:rsidRPr="00B55B08">
        <w:rPr>
          <w:rFonts w:cs="Times New Roman" w:eastAsia="Times New Roman"/>
          <w:szCs w:val="24"/>
          <w:lang w:eastAsia="hr-HR"/>
        </w:rPr>
        <w:t>Zapisničar                      Stečajni sudac                 Stečajni upravitelj              Stranke</w:t>
      </w:r>
    </w:p>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375AE"/>
    <w:multiLevelType w:val="hybridMultilevel"/>
    <w:tmpl w:val="D59C836E"/>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455193"/>
    <w:multiLevelType w:val="hybridMultilevel"/>
    <w:tmpl w:val="8062B2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5B08"/>
    <w:rsid w:val="005056AF"/>
    <w:rsid w:val="00704E2C"/>
    <w:rsid w:val="00B55B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056AF"/>
    <w:rPr>
      <w:color w:val="808080"/>
      <w:bdr w:space="0" w:sz="0" w:color="auto" w:val="none"/>
      <w:shd w:fill="auto" w:color="auto" w:val="clear"/>
    </w:rPr>
  </w:style>
  <w:style w:customStyle="true" w:styleId="eSPISCCParagraphDefaultFont" w:type="character">
    <w:name w:val="eSPIS_CC_Paragraph Default Font"/>
    <w:basedOn w:val="Zadanifontodlomka"/>
    <w:rsid w:val="005056AF"/>
    <w:rPr>
      <w:rFonts w:cs="Times New Roman" w:eastAsia="Calibri"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056AF"/>
    <w:rPr>
      <w:rFonts w:cs="Times New Roman" w:eastAsia="Calibri"/>
      <w:b/>
      <w:szCs w:val="24"/>
      <w:bdr w:space="0" w:sz="0" w:color="auto" w:val="none"/>
      <w:shd w:fill="FFFFCC" w:color="auto" w:val="clear"/>
      <w:lang w:val="hr-HR"/>
    </w:rPr>
  </w:style>
  <w:style w:customStyle="true" w:styleId="PozadinaSvijetloCrvena" w:type="character">
    <w:name w:val="Pozadina_SvijetloCrvena"/>
    <w:basedOn w:val="eSPISCCParagraphDefaultFont"/>
    <w:rsid w:val="005056AF"/>
    <w:rPr>
      <w:rFonts w:cs="Times New Roman" w:eastAsia="Calibri"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56AF"/>
    <w:rPr>
      <w:rFonts w:cs="Times New Roman" w:eastAsia="Calibri"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056AF"/>
    <w:rPr>
      <w:color w:val="808080"/>
      <w:bdr w:color="auto" w:space="0" w:sz="0" w:val="none"/>
      <w:shd w:color="auto" w:fill="auto" w:val="clear"/>
    </w:rPr>
  </w:style>
  <w:style w:customStyle="1" w:styleId="eSPISCCParagraphDefaultFont" w:type="character">
    <w:name w:val="eSPIS_CC_Paragraph Default Font"/>
    <w:basedOn w:val="Zadanifontodlomka"/>
    <w:rsid w:val="005056AF"/>
    <w:rPr>
      <w:rFonts w:ascii="Times New Roman" w:cs="Times New Roman" w:eastAsia="Calibri"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056AF"/>
    <w:rPr>
      <w:rFonts w:cs="Times New Roman" w:eastAsia="Calibri"/>
      <w:b/>
      <w:szCs w:val="24"/>
      <w:bdr w:color="auto" w:space="0" w:sz="0" w:val="none"/>
      <w:shd w:color="auto" w:fill="FFFFCC" w:val="clear"/>
      <w:lang w:val="hr-HR"/>
    </w:rPr>
  </w:style>
  <w:style w:customStyle="1" w:styleId="PozadinaSvijetloCrvena" w:type="character">
    <w:name w:val="Pozadina_SvijetloCrvena"/>
    <w:basedOn w:val="eSPISCCParagraphDefaultFont"/>
    <w:rsid w:val="005056AF"/>
    <w:rPr>
      <w:rFonts w:ascii="Times New Roman" w:cs="Times New Roman" w:eastAsia="Calibri"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56AF"/>
    <w:rPr>
      <w:rFonts w:ascii="Times New Roman" w:cs="Times New Roman" w:eastAsia="Calibri"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ožujka 2018.</izvorni_sadrzaj>
    <derivirana_varijabla naziv="DomainObject.PlaniraniZavrsetakDatum_1">8. ožujka 2018.</derivirana_varijabla>
  </DomainObject.PlaniraniZavrsetakDatum>
  <DomainObject.PlaniraniPocetakDatum>
    <izvorni_sadrzaj>8. ožujka 2018.</izvorni_sadrzaj>
    <derivirana_varijabla naziv="DomainObject.PlaniraniPocetakDatum_1">8.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2018.</izvorni_sadrzaj>
    <derivirana_varijabla naziv="DomainObject.Zapisnik.DatumKreiranja_1">8. ožujka 2018.</derivirana_varijabla>
  </DomainObject.Zapisnik.DatumKreiranja>
  <DomainObject.Zapisnik.ImovinskaKorist>
    <izvorni_sadrzaj/>
    <derivirana_varijabla naziv="DomainObject.Zapisnik.ImovinskaKorist_1"/>
  </DomainObject.Zapisnik.ImovinskaKorist>
  <DomainObject.Zapisnik.Oznaka>
    <izvorni_sadrzaj>St-39/2008-104</izvorni_sadrzaj>
    <derivirana_varijabla naziv="DomainObject.Zapisnik.Oznaka_1">St-39/2008-104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2008.</izvorni_sadrzaj>
    <derivirana_varijabla naziv="DomainObject.Predmet.DatumOsnivanja_1">7. listopada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St-39/2008</izvorni_sadrzaj>
    <derivirana_varijabla naziv="DomainObject.Predmet.OznakaBroj_1">St-39/2008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ELEKTRON 97, d.o.o. za projektiranje, montaža, proizvodnju i trgovinu elektrotehničkim i metalnim proizvodima "u stečaju"</izvorni_sadrzaj>
    <derivirana_varijabla naziv="DomainObject.Predmet.ProtustrankaFormated_1">  ELEKTRON 97, d.o.o. za projektiranje, montaža, proizvodnju i trgovinu elektrotehničkim i metalnim proizvodima "u stečaju"</derivirana_varijabla>
  </DomainObject.Predmet.ProtustrankaFormated>
  <DomainObject.Predmet.ProtustrankaFormatedOIB>
    <izvorni_sadrzaj>  ELEKTRON 97, d.o.o. za projektiranje, montaža, proizvodnju i trgovinu elektrotehničkim i metalnim proizvodima "u stečaju", OIB 46231404370</izvorni_sadrzaj>
    <derivirana_varijabla naziv="DomainObject.Predmet.ProtustrankaFormatedOIB_1">  ELEKTRON 97, d.o.o. za projektiranje, montaža, proizvodnju i trgovinu elektrotehničkim i metalnim proizvodima "u stečaju", OIB 46231404370</derivirana_varijabla>
  </DomainObject.Predmet.ProtustrankaFormatedOIB>
  <DomainObject.Predmet.ProtustrankaFormatedWithAdress>
    <izvorni_sadrzaj> ELEKTRON 97, d.o.o. za projektiranje, montaža, proizvodnju i trgovinu elektrotehničkim i metalnim proizvodima "u stečaju", Boktuljin Put/bb, 21000 Split</izvorni_sadrzaj>
    <derivirana_varijabla naziv="DomainObject.Predmet.ProtustrankaFormatedWithAdress_1"> ELEKTRON 97, d.o.o. za projektiranje, montaža, proizvodnju i trgovinu elektrotehničkim i metalnim proizvodima "u stečaju", Boktuljin Put/bb, 21000 Split</derivirana_varijabla>
  </DomainObject.Predmet.ProtustrankaFormatedWithAdress>
  <DomainObject.Predmet.ProtustrankaFormatedWithAdressOIB>
    <izvorni_sadrzaj> ELEKTRON 97, d.o.o. za projektiranje, montaža, proizvodnju i trgovinu elektrotehničkim i metalnim proizvodima "u stečaju", OIB 46231404370, Boktuljin Put/bb, 21000 Split</izvorni_sadrzaj>
    <derivirana_varijabla naziv="DomainObject.Predmet.ProtustrankaFormatedWithAdressOIB_1"> ELEKTRON 97, d.o.o. za projektiranje, montaža, proizvodnju i trgovinu elektrotehničkim i metalnim proizvodima "u stečaju", OIB 46231404370, Boktuljin Put/bb, 21000 Split</derivirana_varijabla>
  </DomainObject.Predmet.ProtustrankaFormatedWithAdressOIB>
  <DomainObject.Predmet.ProtustrankaWithAdress>
    <izvorni_sadrzaj>ELEKTRON 97, d.o.o. za projektiranje, montaža, proizvodnju i trgovinu elektrotehničkim i metalnim proizvodima "u stečaju" Boktuljin Put/bb, 21000 Split</izvorni_sadrzaj>
    <derivirana_varijabla naziv="DomainObject.Predmet.ProtustrankaWithAdress_1">ELEKTRON 97, d.o.o. za projektiranje, montaža, proizvodnju i trgovinu elektrotehničkim i metalnim proizvodima "u stečaju" Boktuljin Put/bb, 21000 Split</derivirana_varijabla>
  </DomainObject.Predmet.ProtustrankaWithAdress>
  <DomainObject.Predmet.ProtustrankaWithAdressOIB>
    <izvorni_sadrzaj>ELEKTRON 97, d.o.o. za projektiranje, montaža, proizvodnju i trgovinu elektrotehničkim i metalnim proizvodima "u stečaju", OIB 46231404370, Boktuljin Put/bb, 21000 Split</izvorni_sadrzaj>
    <derivirana_varijabla naziv="DomainObject.Predmet.ProtustrankaWithAdressOIB_1">ELEKTRON 97, d.o.o. za projektiranje, montaža, proizvodnju i trgovinu elektrotehničkim i metalnim proizvodima "u stečaju", OIB 46231404370, Boktuljin Put/bb, 21000 Split</derivirana_varijabla>
  </DomainObject.Predmet.ProtustrankaWithAdressOIB>
  <DomainObject.Predmet.ProtustrankaNazivFormated>
    <izvorni_sadrzaj>ELEKTRON 97, d.o.o. za projektiranje, montaža, proizvodnju i trgovinu elektrotehničkim i metalnim proizvodima "u stečaju"</izvorni_sadrzaj>
    <derivirana_varijabla naziv="DomainObject.Predmet.ProtustrankaNazivFormated_1">ELEKTRON 97, d.o.o. za projektiranje, montaža, proizvodnju i trgovinu elektrotehničkim i metalnim proizvodima "u stečaju"</derivirana_varijabla>
  </DomainObject.Predmet.ProtustrankaNazivFormated>
  <DomainObject.Predmet.ProtustrankaNazivFormatedOIB>
    <izvorni_sadrzaj>ELEKTRON 97, d.o.o. za projektiranje, montaža, proizvodnju i trgovinu elektrotehničkim i metalnim proizvodima "u stečaju", OIB 46231404370</izvorni_sadrzaj>
    <derivirana_varijabla naziv="DomainObject.Predmet.ProtustrankaNazivFormatedOIB_1">ELEKTRON 97, d.o.o. za projektiranje, montaža, proizvodnju i trgovinu elektrotehničkim i metalnim proizvodima "u stečaju", OIB 46231404370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ŽDO-Građansko upravni odjel; HORFAM d.o.o. za proizvodnju, trgovinu, uvoz-izvoz; Ustanova za zapošljavanje, rad i profesionalnu rehabilitaciju osoba s invaliditetom DES; SPLIT TOURS dioničko društvo za turizam; BANKA SPLITSKO-DALMATINSKA, dioničko društvo u stečaju; BRODOMERKUR trgovina i usluge, dioničko društvo</izvorni_sadrzaj>
    <derivirana_varijabla naziv="DomainObject.Predmet.StrankaFormated_1">  ŽDO-Građansko upravni odjel; HORFAM d.o.o. za proizvodnju, trgovinu, uvoz-izvoz; Ustanova za zapošljavanje, rad i profesionalnu rehabilitaciju osoba s invaliditetom DES; SPLIT TOURS dioničko društvo za turizam; BANKA SPLITSKO-DALMATINSKA, dioničko društvo u stečaju; BRODOMERKUR trgovina i usluge, dioničko društvo</derivirana_varijabla>
  </DomainObject.Predmet.StrankaFormated>
  <DomainObject.Predmet.StrankaFormatedOIB>
    <izvorni_sadrzaj>  ŽDO-Građansko upravni odjel, OIB 70793241859; HORFAM d.o.o. za proizvodnju, trgovinu, uvoz-izvoz, OIB 70024126117; Ustanova za zapošljavanje, rad i profesionalnu rehabilitaciju osoba s invaliditetom DES, OIB 23754648622; SPLIT TOURS dioničko društvo za turizam, OIB 75401168655; BANKA SPLITSKO-DALMATINSKA, dioničko društvo u stečaju, OIB 25351138943; BRODOMERKUR trgovina i usluge, dioničko društvo, OIB 33956120458</izvorni_sadrzaj>
    <derivirana_varijabla naziv="DomainObject.Predmet.StrankaFormatedOIB_1">  ŽDO-Građansko upravni odjel, OIB 70793241859; HORFAM d.o.o. za proizvodnju, trgovinu, uvoz-izvoz, OIB 70024126117; Ustanova za zapošljavanje, rad i profesionalnu rehabilitaciju osoba s invaliditetom DES, OIB 23754648622; SPLIT TOURS dioničko društvo za turizam, OIB 75401168655; BANKA SPLITSKO-DALMATINSKA, dioničko društvo u stečaju, OIB 25351138943; BRODOMERKUR trgovina i usluge, dioničko društvo, OIB 33956120458</derivirana_varijabla>
  </DomainObject.Predmet.StrankaFormatedOIB>
  <DomainObject.Predmet.StrankaFormatedWithAdress>
    <izvorni_sadrzaj> ŽDO-Građansko upravni odjel; HORFAM d.o.o. za proizvodnju, trgovinu, uvoz-izvoz, Ivana Lackovića 43, Velika Mlaka; Ustanova za zapošljavanje, rad i profesionalnu rehabilitaciju osoba s invaliditetom DES, 114. Brigade 14, 21000 Split; SPLIT TOURS dioničko društvo za turizam, 114. Brigade 10, Split; BANKA SPLITSKO-DALMATINSKA, dioničko društvo u stečaju, 114. brigade 9, 21000 Split; BRODOMERKUR trgovina i usluge, dioničko društvo, Poljička Cesta 35, 21000 Split</izvorni_sadrzaj>
    <derivirana_varijabla naziv="DomainObject.Predmet.StrankaFormatedWithAdress_1"> ŽDO-Građansko upravni odjel; HORFAM d.o.o. za proizvodnju, trgovinu, uvoz-izvoz, Ivana Lackovića 43, Velika Mlaka; Ustanova za zapošljavanje, rad i profesionalnu rehabilitaciju osoba s invaliditetom DES, 114. Brigade 14, 21000 Split; SPLIT TOURS dioničko društvo za turizam, 114. Brigade 10, Split; BANKA SPLITSKO-DALMATINSKA, dioničko društvo u stečaju, 114. brigade 9, 21000 Split; BRODOMERKUR trgovina i usluge, dioničko društvo, Poljička Cesta 35, 21000 Split</derivirana_varijabla>
  </DomainObject.Predmet.StrankaFormatedWithAdress>
  <DomainObject.Predmet.StrankaFormatedWithAdressOIB>
    <izvorni_sadrzaj> ŽDO-Građansko upravni odjel, OIB 70793241859; HORFAM d.o.o. za proizvodnju, trgovinu, uvoz-izvoz, OIB 70024126117, Ivana Lackovića 43, Velika Mlaka; Ustanova za zapošljavanje, rad i profesionalnu rehabilitaciju osoba s invaliditetom DES, OIB 23754648622, 114. Brigade 14, 21000 Split; SPLIT TOURS dioničko društvo za turizam, OIB 75401168655, 114. Brigade 10, Split; BANKA SPLITSKO-DALMATINSKA, dioničko društvo u stečaju, OIB 25351138943, 114. brigade 9, 21000 Split; BRODOMERKUR trgovina i usluge, dioničko društvo, OIB 33956120458, Poljička Cesta 35, 21000 Split</izvorni_sadrzaj>
    <derivirana_varijabla naziv="DomainObject.Predmet.StrankaFormatedWithAdressOIB_1"> ŽDO-Građansko upravni odjel, OIB 70793241859; HORFAM d.o.o. za proizvodnju, trgovinu, uvoz-izvoz, OIB 70024126117, Ivana Lackovića 43, Velika Mlaka; Ustanova za zapošljavanje, rad i profesionalnu rehabilitaciju osoba s invaliditetom DES, OIB 23754648622, 114. Brigade 14, 21000 Split; SPLIT TOURS dioničko društvo za turizam, OIB 75401168655, 114. Brigade 10, Split; BANKA SPLITSKO-DALMATINSKA, dioničko društvo u stečaju, OIB 25351138943, 114. brigade 9, 21000 Split; BRODOMERKUR trgovina i usluge, dioničko društvo, OIB 33956120458, Poljička Cesta 35, 21000 Split</derivirana_varijabla>
  </DomainObject.Predmet.StrankaFormatedWithAdressOIB>
  <DomainObject.Predmet.StrankaWithAdress>
    <izvorni_sadrzaj>ŽDO-Građansko upravni odjel ,HORFAM d.o.o. za proizvodnju, trgovinu, uvoz-izvoz Ivana Lackovića 43,Velika Mlaka,Ustanova za zapošljavanje, rad i profesionalnu rehabilitaciju osoba s invaliditetom DES 114. Brigade 14,21000 Split,SPLIT TOURS dioničko društvo za turizam 114. Brigade 10,Split,BANKA SPLITSKO-DALMATINSKA, dioničko društvo u stečaju 114. brigade 9,21000 Split,BRODOMERKUR trgovina i usluge, dioničko društvo Poljička Cesta 35,21000 Split</izvorni_sadrzaj>
    <derivirana_varijabla naziv="DomainObject.Predmet.StrankaWithAdress_1">ŽDO-Građansko upravni odjel ,HORFAM d.o.o. za proizvodnju, trgovinu, uvoz-izvoz Ivana Lackovića 43,Velika Mlaka,Ustanova za zapošljavanje, rad i profesionalnu rehabilitaciju osoba s invaliditetom DES 114. Brigade 14,21000 Split,SPLIT TOURS dioničko društvo za turizam 114. Brigade 10,Split,BANKA SPLITSKO-DALMATINSKA, dioničko društvo u stečaju 114. brigade 9,21000 Split,BRODOMERKUR trgovina i usluge, dioničko društvo Poljička Cesta 35,21000 Split</derivirana_varijabla>
  </DomainObject.Predmet.StrankaWithAdress>
  <DomainObject.Predmet.StrankaWithAdressOIB>
    <izvorni_sadrzaj>ŽDO-Građansko upravni odjel, OIB 70793241859,HORFAM d.o.o. za proizvodnju, trgovinu, uvoz-izvoz, OIB 70024126117, Ivana Lackovića 43,Velika Mlaka,Ustanova za zapošljavanje, rad i profesionalnu rehabilitaciju osoba s invaliditetom DES, OIB 23754648622, 114. Brigade 14,21000 Split,SPLIT TOURS dioničko društvo za turizam, OIB 75401168655, 114. Brigade 10,Split,BANKA SPLITSKO-DALMATINSKA, dioničko društvo u stečaju, OIB 25351138943, 114. brigade 9,21000 Split,BRODOMERKUR trgovina i usluge, dioničko društvo, OIB 33956120458, Poljička Cesta 35,21000 Split</izvorni_sadrzaj>
    <derivirana_varijabla naziv="DomainObject.Predmet.StrankaWithAdressOIB_1">ŽDO-Građansko upravni odjel, OIB 70793241859,HORFAM d.o.o. za proizvodnju, trgovinu, uvoz-izvoz, OIB 70024126117, Ivana Lackovića 43,Velika Mlaka,Ustanova za zapošljavanje, rad i profesionalnu rehabilitaciju osoba s invaliditetom DES, OIB 23754648622, 114. Brigade 14,21000 Split,SPLIT TOURS dioničko društvo za turizam, OIB 75401168655, 114. Brigade 10,Split,BANKA SPLITSKO-DALMATINSKA, dioničko društvo u stečaju, OIB 25351138943, 114. brigade 9,21000 Split,BRODOMERKUR trgovina i usluge, dioničko društvo, OIB 33956120458, Poljička Cesta 35,21000 Split</derivirana_varijabla>
  </DomainObject.Predmet.StrankaWithAdressOIB>
  <DomainObject.Predmet.StrankaNazivFormated>
    <izvorni_sadrzaj>ŽDO-Građansko upravni odjel,HORFAM d.o.o. za proizvodnju, trgovinu, uvoz-izvoz,Ustanova za zapošljavanje, rad i profesionalnu rehabilitaciju osoba s invaliditetom DES,SPLIT TOURS dioničko društvo za turizam,BANKA SPLITSKO-DALMATINSKA, dioničko društvo u stečaju,BRODOMERKUR trgovina i usluge, dioničko društvo</izvorni_sadrzaj>
    <derivirana_varijabla naziv="DomainObject.Predmet.StrankaNazivFormated_1">ŽDO-Građansko upravni odjel,HORFAM d.o.o. za proizvodnju, trgovinu, uvoz-izvoz,Ustanova za zapošljavanje, rad i profesionalnu rehabilitaciju osoba s invaliditetom DES,SPLIT TOURS dioničko društvo za turizam,BANKA SPLITSKO-DALMATINSKA, dioničko društvo u stečaju,BRODOMERKUR trgovina i usluge, dioničko društvo</derivirana_varijabla>
  </DomainObject.Predmet.StrankaNazivFormated>
  <DomainObject.Predmet.StrankaNazivFormatedOIB>
    <izvorni_sadrzaj>ŽDO-Građansko upravni odjel, OIB 70793241859,HORFAM d.o.o. za proizvodnju, trgovinu, uvoz-izvoz, OIB 70024126117,Ustanova za zapošljavanje, rad i profesionalnu rehabilitaciju osoba s invaliditetom DES, OIB 23754648622,SPLIT TOURS dioničko društvo za turizam, OIB 75401168655,BANKA SPLITSKO-DALMATINSKA, dioničko društvo u stečaju, OIB 25351138943,BRODOMERKUR trgovina i usluge, dioničko društvo, OIB 33956120458</izvorni_sadrzaj>
    <derivirana_varijabla naziv="DomainObject.Predmet.StrankaNazivFormatedOIB_1">ŽDO-Građansko upravni odjel, OIB 70793241859,HORFAM d.o.o. za proizvodnju, trgovinu, uvoz-izvoz, OIB 70024126117,Ustanova za zapošljavanje, rad i profesionalnu rehabilitaciju osoba s invaliditetom DES, OIB 23754648622,SPLIT TOURS dioničko društvo za turizam, OIB 75401168655,BANKA SPLITSKO-DALMATINSKA, dioničko društvo u stečaju, OIB 25351138943,BRODOMERKUR trgovina i usluge, dioničko društvo, OIB 33956120458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zvorni_sadrzaj>
    <derivirana_varijabla naziv="DomainObject.Predmet.StrankaListFormated_1">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derivirana_varijabla>
  </DomainObject.Predmet.StrankaListFormated>
  <DomainObject.Predmet.StrankaListFormatedOIB>
    <izvorni_sadrzaj>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izvorni_sadrzaj>
    <derivirana_varijabla naziv="DomainObject.Predmet.StrankaListFormatedOIB_1">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derivirana_varijabla>
  </DomainObject.Predmet.StrankaListFormatedOIB>
  <DomainObject.Predmet.StrankaListFormatedWithAdress>
    <izvorni_sadrzaj>
      <item>ŽDO-Građansko upravni odjel</item>
      <item>HORFAM d.o.o. za proizvodnju, trgovinu, uvoz-izvoz, Ivana Lackovića 43, Velika Mlaka</item>
      <item>Ustanova za zapošljavanje, rad i profesionalnu rehabilitaciju osoba s invaliditetom DES, 114. Brigade 14, 21000 Split</item>
      <item>SPLIT TOURS dioničko društvo za turizam, 114. Brigade 10, Split</item>
      <item>BANKA SPLITSKO-DALMATINSKA, dioničko društvo u stečaju, 114. brigade 9, 21000 Split</item>
      <item>BRODOMERKUR trgovina i usluge, dioničko društvo, Poljička Cesta 35, 21000 Split</item>
    </izvorni_sadrzaj>
    <derivirana_varijabla naziv="DomainObject.Predmet.StrankaListFormatedWithAdress_1">
      <item>ŽDO-Građansko upravni odjel</item>
      <item>HORFAM d.o.o. za proizvodnju, trgovinu, uvoz-izvoz, Ivana Lackovića 43, Velika Mlaka</item>
      <item>Ustanova za zapošljavanje, rad i profesionalnu rehabilitaciju osoba s invaliditetom DES, 114. Brigade 14, 21000 Split</item>
      <item>SPLIT TOURS dioničko društvo za turizam, 114. Brigade 10, Split</item>
      <item>BANKA SPLITSKO-DALMATINSKA, dioničko društvo u stečaju, 114. brigade 9, 21000 Split</item>
      <item>BRODOMERKUR trgovina i usluge, dioničko društvo, Poljička Cesta 35, 21000 Split</item>
    </derivirana_varijabla>
  </DomainObject.Predmet.StrankaListFormatedWithAdress>
  <DomainObject.Predmet.StrankaListFormatedWithAdressOIB>
    <izvorni_sadrzaj>
      <item>ŽDO-Građansko upravni odjel, OIB 70793241859</item>
      <item>HORFAM d.o.o. za proizvodnju, trgovinu, uvoz-izvoz, OIB 70024126117, Ivana Lackovića 43, Velika Mlaka</item>
      <item>Ustanova za zapošljavanje, rad i profesionalnu rehabilitaciju osoba s invaliditetom DES, OIB 23754648622, 114. Brigade 14, 21000 Split</item>
      <item>SPLIT TOURS dioničko društvo za turizam, OIB 75401168655, 114. Brigade 10, Split</item>
      <item>BANKA SPLITSKO-DALMATINSKA, dioničko društvo u stečaju, OIB 25351138943, 114. brigade 9, 21000 Split</item>
      <item>BRODOMERKUR trgovina i usluge, dioničko društvo, OIB 33956120458, Poljička Cesta 35, 21000 Split</item>
    </izvorni_sadrzaj>
    <derivirana_varijabla naziv="DomainObject.Predmet.StrankaListFormatedWithAdressOIB_1">
      <item>ŽDO-Građansko upravni odjel, OIB 70793241859</item>
      <item>HORFAM d.o.o. za proizvodnju, trgovinu, uvoz-izvoz, OIB 70024126117, Ivana Lackovića 43, Velika Mlaka</item>
      <item>Ustanova za zapošljavanje, rad i profesionalnu rehabilitaciju osoba s invaliditetom DES, OIB 23754648622, 114. Brigade 14, 21000 Split</item>
      <item>SPLIT TOURS dioničko društvo za turizam, OIB 75401168655, 114. Brigade 10, Split</item>
      <item>BANKA SPLITSKO-DALMATINSKA, dioničko društvo u stečaju, OIB 25351138943, 114. brigade 9, 21000 Split</item>
      <item>BRODOMERKUR trgovina i usluge, dioničko društvo, OIB 33956120458, Poljička Cesta 35, 21000 Split</item>
    </derivirana_varijabla>
  </DomainObject.Predmet.StrankaListFormatedWithAdressOIB>
  <DomainObject.Predmet.StrankaListNazivFormated>
    <izvorni_sadrzaj>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zvorni_sadrzaj>
    <derivirana_varijabla naziv="DomainObject.Predmet.StrankaListNazivFormated_1">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derivirana_varijabla>
  </DomainObject.Predmet.StrankaListNazivFormated>
  <DomainObject.Predmet.StrankaListNazivFormatedOIB>
    <izvorni_sadrzaj>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izvorni_sadrzaj>
    <derivirana_varijabla naziv="DomainObject.Predmet.StrankaListNazivFormatedOIB_1">
      <item>ŽDO-Građansko upravni odjel, OIB 70793241859</item>
      <item>HORFAM d.o.o. za proizvodnju, trgovinu, uvoz-izvoz, OIB 70024126117</item>
      <item>Ustanova za zapošljavanje, rad i profesionalnu rehabilitaciju osoba s invaliditetom DES, OIB 23754648622</item>
      <item>SPLIT TOURS dioničko društvo za turizam, OIB 75401168655</item>
      <item>BANKA SPLITSKO-DALMATINSKA, dioničko društvo u stečaju, OIB 25351138943</item>
      <item>BRODOMERKUR trgovina i usluge, dioničko društvo, OIB 33956120458</item>
    </derivirana_varijabla>
  </DomainObject.Predmet.StrankaListNazivFormatedOIB>
  <DomainObject.Predmet.ProtuStrankaListFormated>
    <izvorni_sadrzaj>
      <item>ELEKTRON 97, d.o.o. za projektiranje, montaža, proizvodnju i trgovinu elektrotehničkim i metalnim proizvodima "u stečaju"</item>
    </izvorni_sadrzaj>
    <derivirana_varijabla naziv="DomainObject.Predmet.ProtuStrankaListFormated_1">
      <item>ELEKTRON 97, d.o.o. za projektiranje, montaža, proizvodnju i trgovinu elektrotehničkim i metalnim proizvodima "u stečaju"</item>
    </derivirana_varijabla>
  </DomainObject.Predmet.ProtuStrankaListFormated>
  <DomainObject.Predmet.ProtuStrankaListFormatedOIB>
    <izvorni_sadrzaj>
      <item>ELEKTRON 97, d.o.o. za projektiranje, montaža, proizvodnju i trgovinu elektrotehničkim i metalnim proizvodima "u stečaju", OIB 46231404370</item>
    </izvorni_sadrzaj>
    <derivirana_varijabla naziv="DomainObject.Predmet.ProtuStrankaListFormatedOIB_1">
      <item>ELEKTRON 97, d.o.o. za projektiranje, montaža, proizvodnju i trgovinu elektrotehničkim i metalnim proizvodima "u stečaju", OIB 46231404370</item>
    </derivirana_varijabla>
  </DomainObject.Predmet.ProtuStrankaListFormatedOIB>
  <DomainObject.Predmet.ProtuStrankaListFormatedWithAdress>
    <izvorni_sadrzaj>
      <item>ELEKTRON 97, d.o.o. za projektiranje, montaža, proizvodnju i trgovinu elektrotehničkim i metalnim proizvodima "u stečaju", Boktuljin Put/bb, 21000 Split</item>
    </izvorni_sadrzaj>
    <derivirana_varijabla naziv="DomainObject.Predmet.ProtuStrankaListFormatedWithAdress_1">
      <item>ELEKTRON 97, d.o.o. za projektiranje, montaža, proizvodnju i trgovinu elektrotehničkim i metalnim proizvodima "u stečaju", Boktuljin Put/bb, 21000 Split</item>
    </derivirana_varijabla>
  </DomainObject.Predmet.ProtuStrankaListFormatedWithAdress>
  <DomainObject.Predmet.ProtuStrankaListFormatedWithAdressOIB>
    <izvorni_sadrzaj>
      <item>ELEKTRON 97, d.o.o. za projektiranje, montaža, proizvodnju i trgovinu elektrotehničkim i metalnim proizvodima "u stečaju", OIB 46231404370, Boktuljin Put/bb, 21000 Split</item>
    </izvorni_sadrzaj>
    <derivirana_varijabla naziv="DomainObject.Predmet.ProtuStrankaListFormatedWithAdressOIB_1">
      <item>ELEKTRON 97, d.o.o. za projektiranje, montaža, proizvodnju i trgovinu elektrotehničkim i metalnim proizvodima "u stečaju", OIB 46231404370, Boktuljin Put/bb, 21000 Split</item>
    </derivirana_varijabla>
  </DomainObject.Predmet.ProtuStrankaListFormatedWithAdressOIB>
  <DomainObject.Predmet.ProtuStrankaListNazivFormated>
    <izvorni_sadrzaj>
      <item>ELEKTRON 97, d.o.o. za projektiranje, montaža, proizvodnju i trgovinu elektrotehničkim i metalnim proizvodima "u stečaju"</item>
    </izvorni_sadrzaj>
    <derivirana_varijabla naziv="DomainObject.Predmet.ProtuStrankaListNazivFormated_1">
      <item>ELEKTRON 97, d.o.o. za projektiranje, montaža, proizvodnju i trgovinu elektrotehničkim i metalnim proizvodima "u stečaju"</item>
    </derivirana_varijabla>
  </DomainObject.Predmet.ProtuStrankaListNazivFormated>
  <DomainObject.Predmet.ProtuStrankaListNazivFormatedOIB>
    <izvorni_sadrzaj>
      <item>ELEKTRON 97, d.o.o. za projektiranje, montaža, proizvodnju i trgovinu elektrotehničkim i metalnim proizvodima "u stečaju", OIB 46231404370</item>
    </izvorni_sadrzaj>
    <derivirana_varijabla naziv="DomainObject.Predmet.ProtuStrankaListNazivFormatedOIB_1">
      <item>ELEKTRON 97, d.o.o. za projektiranje, montaža, proizvodnju i trgovinu elektrotehničkim i metalnim proizvodima "u stečaju", OIB 46231404370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St-39/2008-104</izvorni_sadrzaj>
    <derivirana_varijabla naziv="DomainObject.PoslovniBrojDokumenta_1">St-39/2008-104</derivirana_varijabla>
  </DomainObject.PoslovniBrojDokumenta>
  <DomainObject.Predmet.StrankaIDrugi>
    <izvorni_sadrzaj>HORFAM d.o.o. za proizvodnju, trgovinu, uvoz-izvoz i dr.</izvorni_sadrzaj>
    <derivirana_varijabla naziv="DomainObject.Predmet.StrankaIDrugi_1">HORFAM d.o.o. za proizvodnju, trgovinu, uvoz-izvoz i dr.</derivirana_varijabla>
  </DomainObject.Predmet.StrankaIDrugi>
  <DomainObject.Predmet.ProtustrankaIDrugi>
    <izvorni_sadrzaj>ELEKTRON 97, d.o.o. za projektiranje, montaža, proizvodnju i trgovinu elektrotehničkim i metalnim proizvodima "u stečaju"</izvorni_sadrzaj>
    <derivirana_varijabla naziv="DomainObject.Predmet.ProtustrankaIDrugi_1">ELEKTRON 97, d.o.o. za projektiranje, montaža, proizvodnju i trgovinu elektrotehničkim i metalnim proizvodima "u stečaju"</derivirana_varijabla>
  </DomainObject.Predmet.ProtustrankaIDrugi>
  <DomainObject.Predmet.StrankaIDrugiAdressOIB>
    <izvorni_sadrzaj>HORFAM d.o.o. za proizvodnju, trgovinu, uvoz-izvoz, OIB 70024126117, Ivana Lackovića 43, Velika Mlaka i dr.</izvorni_sadrzaj>
    <derivirana_varijabla naziv="DomainObject.Predmet.StrankaIDrugiAdressOIB_1">HORFAM d.o.o. za proizvodnju, trgovinu, uvoz-izvoz, OIB 70024126117, Ivana Lackovića 43, Velika Mlaka i dr.</derivirana_varijabla>
  </DomainObject.Predmet.StrankaIDrugiAdressOIB>
  <DomainObject.Predmet.ProtustrankaIDrugiAdressOIB>
    <izvorni_sadrzaj>ELEKTRON 97, d.o.o. za projektiranje, montaža, proizvodnju i trgovinu elektrotehničkim i metalnim proizvodima "u stečaju", OIB 46231404370, Boktuljin Put/bb, 21000 Split</izvorni_sadrzaj>
    <derivirana_varijabla naziv="DomainObject.Predmet.ProtustrankaIDrugiAdressOIB_1">ELEKTRON 97, d.o.o. za projektiranje, montaža, proizvodnju i trgovinu elektrotehničkim i metalnim proizvodima "u stečaju", OIB 46231404370, Boktuljin Put/bb,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ELEKTRON 97, d.o.o. za projektiranje, montaža, proizvodnju i trgovinu elektrotehničkim i metalnim proizvodima "u stečaju"</item>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izvorni_sadrzaj>
    <derivirana_varijabla naziv="DomainObject.Predmet.SudioniciListNaziv_1">
      <item>ELEKTRON 97, d.o.o. za projektiranje, montaža, proizvodnju i trgovinu elektrotehničkim i metalnim proizvodima "u stečaju"</item>
      <item>ŽDO-Građansko upravni odjel</item>
      <item>HORFAM d.o.o. za proizvodnju, trgovinu, uvoz-izvoz</item>
      <item>Ustanova za zapošljavanje, rad i profesionalnu rehabilitaciju osoba s invaliditetom DES</item>
      <item>SPLIT TOURS dioničko društvo za turizam</item>
      <item>BANKA SPLITSKO-DALMATINSKA, dioničko društvo u stečaju</item>
      <item>BRODOMERKUR trgovina i usluge, dioničko društvo</item>
    </derivirana_varijabla>
  </DomainObject.Predmet.SudioniciListNaziv>
  <DomainObject.Predmet.SudioniciListAdressOIB>
    <izvorni_sadrzaj>
      <item>ELEKTRON 97, d.o.o. za projektiranje, montaža, proizvodnju i trgovinu elektrotehničkim i metalnim proizvodima "u stečaju", OIB 46231404370, Boktuljin Put/bb,21000 Split</item>
      <item>ŽDO-Građansko upravni odjel, OIB 70793241859</item>
      <item>HORFAM d.o.o. za proizvodnju, trgovinu, uvoz-izvoz, OIB 70024126117, Ivana Lackovića 43,Velika Mlaka</item>
      <item>Ustanova za zapošljavanje, rad i profesionalnu rehabilitaciju osoba s invaliditetom DES, OIB 23754648622, 114. Brigade 14,21000 Split</item>
      <item>SPLIT TOURS dioničko društvo za turizam, OIB 75401168655, 114. Brigade 10,Split</item>
      <item>BANKA SPLITSKO-DALMATINSKA, dioničko društvo u stečaju, OIB 25351138943, 114. brigade 9,21000 Split</item>
      <item>BRODOMERKUR trgovina i usluge, dioničko društvo, OIB 33956120458, Poljička Cesta 35,21000 Split</item>
    </izvorni_sadrzaj>
    <derivirana_varijabla naziv="DomainObject.Predmet.SudioniciListAdressOIB_1">
      <item>ELEKTRON 97, d.o.o. za projektiranje, montaža, proizvodnju i trgovinu elektrotehničkim i metalnim proizvodima "u stečaju", OIB 46231404370, Boktuljin Put/bb,21000 Split</item>
      <item>ŽDO-Građansko upravni odjel, OIB 70793241859</item>
      <item>HORFAM d.o.o. za proizvodnju, trgovinu, uvoz-izvoz, OIB 70024126117, Ivana Lackovića 43,Velika Mlaka</item>
      <item>Ustanova za zapošljavanje, rad i profesionalnu rehabilitaciju osoba s invaliditetom DES, OIB 23754648622, 114. Brigade 14,21000 Split</item>
      <item>SPLIT TOURS dioničko društvo za turizam, OIB 75401168655, 114. Brigade 10,Split</item>
      <item>BANKA SPLITSKO-DALMATINSKA, dioničko društvo u stečaju, OIB 25351138943, 114. brigade 9,21000 Split</item>
      <item>BRODOMERKUR trgovina i usluge, dioničko društvo, OIB 33956120458, Poljička Cesta 35,21000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46231404370</item>
      <item>, OIB 70793241859</item>
      <item>, OIB 70024126117</item>
      <item>, OIB 23754648622</item>
      <item>, OIB 75401168655</item>
      <item>, OIB 25351138943</item>
      <item>, OIB 33956120458</item>
    </izvorni_sadrzaj>
    <derivirana_varijabla naziv="DomainObject.Predmet.SudioniciListNazivOIB_1">
      <item>, OIB 46231404370</item>
      <item>, OIB 70793241859</item>
      <item>, OIB 70024126117</item>
      <item>, OIB 23754648622</item>
      <item>, OIB 75401168655</item>
      <item>, OIB 25351138943</item>
      <item>, OIB 33956120458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728</properties:Words>
  <properties:Characters>3883</properties:Characters>
  <properties:Lines>91</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2018-03-08T11:24:00Z</dcterms:created>
  <dc:creator>Jozo Ćaleta</dc:creator>
  <cp:lastModifiedBy>Jozo Ćaleta</cp:lastModifiedBy>
  <dcterms:modified xmlns:xsi="http://www.w3.org/2001/XMLSchema-instance" xsi:type="dcterms:W3CDTF">2018-03-08T11:26:00Z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St-39/2008-104 / Zapisnik - Skupština vjerovnika (AAAAAAAAAAAAAAAAA.docx)</vt:lpwstr>
  </prop:property>
  <prop:property name="CC_coloring" pid="4" fmtid="{D5CDD505-2E9C-101B-9397-08002B2CF9AE}">
    <vt:bool>false</vt:bool>
  </prop:property>
  <prop:property name="BrojStranica" pid="5" fmtid="{D5CDD505-2E9C-101B-9397-08002B2CF9AE}">
    <vt:i4>2</vt:i4>
  </prop:property>
</prop:Properties>
</file>