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237"/>
      </w:tblGrid>
      <w:tr w:rsidTr="00450BBE" w:rsidR="00450BBE" w:rsidRPr="00C61EDF">
        <w:trPr>
          <w:trHeight w:val="2231"/>
        </w:trPr>
        <w:tc>
          <w:tcPr>
            <w:tcW w:type="dxa" w:w="3369"/>
            <w:vAlign w:val="center"/>
          </w:tcPr>
          <w:p w:rsidRDefault="00450BBE" w:rsidP="00A66C00" w:rsidR="00450BB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50BBE" w:rsidP="00A66C00" w:rsidR="00450BB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450BBE" w:rsidP="00A66C00" w:rsidR="00450BB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450BBE" w:rsidP="00DA5B9D" w:rsidR="00450BBE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6237"/>
          </w:tcPr>
          <w:p w:rsidRDefault="00450BBE" w:rsidP="00DA5B9D" w:rsidR="00450BBE">
            <w:pPr>
              <w:jc w:val="both"/>
            </w:pPr>
          </w:p>
          <w:p w:rsidRDefault="00450BBE" w:rsidP="00DA5B9D" w:rsidR="00450BBE">
            <w:pPr>
              <w:jc w:val="both"/>
            </w:pPr>
          </w:p>
          <w:p w:rsidRDefault="00450BBE" w:rsidP="00DA5B9D" w:rsidR="00450BBE">
            <w:pPr>
              <w:jc w:val="both"/>
            </w:pPr>
          </w:p>
          <w:p w:rsidRDefault="00450BBE" w:rsidP="00DA5B9D" w:rsidR="00450BBE">
            <w:pPr>
              <w:jc w:val="right"/>
            </w:pPr>
          </w:p>
          <w:p w:rsidRDefault="00450BBE" w:rsidP="00DA5B9D" w:rsidR="00450BBE">
            <w:pPr>
              <w:jc w:val="right"/>
            </w:pPr>
          </w:p>
          <w:p w:rsidRDefault="00450BBE" w:rsidP="00DA5B9D" w:rsidR="00450BBE">
            <w:pPr>
              <w:jc w:val="right"/>
              <w:rPr>
                <w:noProof/>
              </w:rPr>
            </w:pPr>
          </w:p>
          <w:p w:rsidRDefault="00450BBE" w:rsidP="00DA5B9D" w:rsidR="00450BBE">
            <w:pPr>
              <w:jc w:val="right"/>
              <w:rPr>
                <w:noProof/>
              </w:rPr>
            </w:pPr>
          </w:p>
          <w:p w:rsidRDefault="00450BBE" w:rsidP="00DA5B9D" w:rsidR="00450BBE">
            <w:pPr>
              <w:jc w:val="right"/>
              <w:rPr>
                <w:noProof/>
                <w:sz w:val="24"/>
              </w:rPr>
            </w:pPr>
          </w:p>
          <w:p w:rsidRDefault="00450BBE" w:rsidP="00450BBE" w:rsidR="00450BBE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116/2014-99</w:t>
            </w:r>
          </w:p>
        </w:tc>
      </w:tr>
    </w:tbl>
    <w:p w14:textId="d4789e2" w14:paraId="d4789e2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A3A6D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="00647882" w:rsidRPr="00647882">
        <w:rPr>
          <w:sz w:val="24"/>
          <w:szCs w:val="24"/>
          <w:lang w:val="hr-HR"/>
        </w:rPr>
        <w:t xml:space="preserve"> </w:t>
      </w:r>
      <w:r w:rsidR="007A1E6E" w:rsidRPr="007A1E6E">
        <w:rPr>
          <w:sz w:val="24"/>
          <w:szCs w:val="24"/>
          <w:lang w:val="hr-HR"/>
        </w:rPr>
        <w:t xml:space="preserve">u </w:t>
      </w:r>
      <w:r w:rsidR="00450BBE" w:rsidRPr="00BA3A6D">
        <w:rPr>
          <w:sz w:val="24"/>
          <w:szCs w:val="24"/>
          <w:lang w:val="hr-HR"/>
        </w:rPr>
        <w:t>stečajnom postupku nad dužnikom TOPOLA d.o.o. u stečaju, OIB: 78168323445, Imotski, Imotskih iseljenika 3</w:t>
      </w:r>
      <w:r w:rsidR="007A1E6E" w:rsidRPr="00BA3A6D">
        <w:rPr>
          <w:sz w:val="24"/>
          <w:szCs w:val="24"/>
          <w:lang w:val="hr-HR"/>
        </w:rPr>
        <w:t xml:space="preserve">, </w:t>
      </w:r>
      <w:r w:rsidR="00BA3A6D">
        <w:rPr>
          <w:sz w:val="24"/>
          <w:szCs w:val="24"/>
          <w:lang w:val="hr-HR"/>
        </w:rPr>
        <w:t>20</w:t>
      </w:r>
      <w:r w:rsidR="00450BBE" w:rsidRPr="00BA3A6D">
        <w:rPr>
          <w:sz w:val="24"/>
          <w:szCs w:val="24"/>
          <w:lang w:val="hr-HR"/>
        </w:rPr>
        <w:t>. ožujka</w:t>
      </w:r>
      <w:r w:rsidR="007A1E6E" w:rsidRPr="00BA3A6D">
        <w:rPr>
          <w:sz w:val="24"/>
          <w:szCs w:val="24"/>
          <w:lang w:val="hr-HR"/>
        </w:rPr>
        <w:t xml:space="preserve"> 2019.</w:t>
      </w:r>
    </w:p>
    <w:p w:rsidRDefault="00D65A07" w:rsidP="00211511" w:rsidR="00945DD1" w:rsidRPr="00BA3A6D">
      <w:pPr>
        <w:spacing w:after="240" w:before="240"/>
        <w:jc w:val="center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r i j e š i o   j e</w:t>
      </w:r>
    </w:p>
    <w:p w:rsidRDefault="002F578D" w:rsidP="00450BBE" w:rsidR="00450BBE" w:rsidRPr="00BA3A6D">
      <w:pPr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  </w:t>
      </w:r>
      <w:r w:rsidR="00211511" w:rsidRPr="00BA3A6D">
        <w:rPr>
          <w:sz w:val="24"/>
          <w:szCs w:val="24"/>
          <w:lang w:val="hr-HR"/>
        </w:rPr>
        <w:t xml:space="preserve">  </w:t>
      </w:r>
      <w:r w:rsidR="00647882" w:rsidRPr="00BA3A6D">
        <w:rPr>
          <w:sz w:val="24"/>
          <w:szCs w:val="24"/>
          <w:lang w:val="hr-HR"/>
        </w:rPr>
        <w:t>I. Daje se suglasnost stečajno</w:t>
      </w:r>
      <w:r w:rsidR="007A1E6E" w:rsidRPr="00BA3A6D">
        <w:rPr>
          <w:sz w:val="24"/>
          <w:szCs w:val="24"/>
          <w:lang w:val="hr-HR"/>
        </w:rPr>
        <w:t>m</w:t>
      </w:r>
      <w:r w:rsidR="00647882" w:rsidRPr="00BA3A6D">
        <w:rPr>
          <w:sz w:val="24"/>
          <w:szCs w:val="24"/>
          <w:lang w:val="hr-HR"/>
        </w:rPr>
        <w:t xml:space="preserve"> upravitelj</w:t>
      </w:r>
      <w:r w:rsidR="007A1E6E" w:rsidRPr="00BA3A6D">
        <w:rPr>
          <w:sz w:val="24"/>
          <w:szCs w:val="24"/>
          <w:lang w:val="hr-HR"/>
        </w:rPr>
        <w:t>u</w:t>
      </w:r>
      <w:r w:rsidR="00211511" w:rsidRPr="00BA3A6D">
        <w:rPr>
          <w:sz w:val="24"/>
          <w:szCs w:val="24"/>
          <w:lang w:val="hr-HR"/>
        </w:rPr>
        <w:t xml:space="preserve"> na završnu diobu prema završnom diobnom popisu zaprimljenom kod ovoga suda </w:t>
      </w:r>
      <w:r w:rsidR="00450BBE" w:rsidRPr="00BA3A6D">
        <w:rPr>
          <w:sz w:val="24"/>
          <w:szCs w:val="24"/>
          <w:lang w:val="hr-HR"/>
        </w:rPr>
        <w:t>13. ožujka</w:t>
      </w:r>
      <w:r w:rsidR="00211511" w:rsidRPr="00BA3A6D">
        <w:rPr>
          <w:sz w:val="24"/>
          <w:szCs w:val="24"/>
          <w:lang w:val="hr-HR"/>
        </w:rPr>
        <w:t xml:space="preserve"> 201</w:t>
      </w:r>
      <w:r w:rsidR="005C2557" w:rsidRPr="00BA3A6D">
        <w:rPr>
          <w:sz w:val="24"/>
          <w:szCs w:val="24"/>
          <w:lang w:val="hr-HR"/>
        </w:rPr>
        <w:t>9</w:t>
      </w:r>
      <w:r w:rsidR="00211511" w:rsidRPr="00BA3A6D">
        <w:rPr>
          <w:sz w:val="24"/>
          <w:szCs w:val="24"/>
          <w:lang w:val="hr-HR"/>
        </w:rPr>
        <w:t xml:space="preserve">., koji je objavljen na mrežnoj stranici e-Oglasna ploča sudova </w:t>
      </w:r>
      <w:r w:rsidR="00450BBE" w:rsidRPr="00BA3A6D">
        <w:rPr>
          <w:sz w:val="24"/>
          <w:szCs w:val="24"/>
          <w:lang w:val="hr-HR"/>
        </w:rPr>
        <w:t>15. ožujka</w:t>
      </w:r>
      <w:r w:rsidR="00211511" w:rsidRPr="00BA3A6D">
        <w:rPr>
          <w:sz w:val="24"/>
          <w:szCs w:val="24"/>
          <w:lang w:val="hr-HR"/>
        </w:rPr>
        <w:t xml:space="preserve"> 201</w:t>
      </w:r>
      <w:r w:rsidR="00A626EF" w:rsidRPr="00BA3A6D">
        <w:rPr>
          <w:sz w:val="24"/>
          <w:szCs w:val="24"/>
          <w:lang w:val="hr-HR"/>
        </w:rPr>
        <w:t>9</w:t>
      </w:r>
      <w:r w:rsidR="00211511" w:rsidRPr="00BA3A6D">
        <w:rPr>
          <w:sz w:val="24"/>
          <w:szCs w:val="24"/>
          <w:lang w:val="hr-HR"/>
        </w:rPr>
        <w:t>., a prema koj</w:t>
      </w:r>
      <w:r w:rsidR="00647882" w:rsidRPr="00BA3A6D">
        <w:rPr>
          <w:sz w:val="24"/>
          <w:szCs w:val="24"/>
          <w:lang w:val="hr-HR"/>
        </w:rPr>
        <w:t>em</w:t>
      </w:r>
      <w:r w:rsidR="007A1E6E" w:rsidRPr="00BA3A6D">
        <w:rPr>
          <w:sz w:val="24"/>
          <w:szCs w:val="24"/>
          <w:lang w:val="hr-HR"/>
        </w:rPr>
        <w:t xml:space="preserve"> </w:t>
      </w:r>
      <w:r w:rsidR="00450BBE" w:rsidRPr="00BA3A6D">
        <w:rPr>
          <w:sz w:val="24"/>
          <w:szCs w:val="24"/>
          <w:lang w:val="hr-HR"/>
        </w:rPr>
        <w:t>će se vjerovnici II. višeg isplatnog reda namiriti za iznos od 119.142,95 kn, odnosno za 6,653% od utvrđene tražbine.</w:t>
      </w:r>
    </w:p>
    <w:p w:rsidRDefault="00211511" w:rsidP="007A1E6E" w:rsidR="00211511" w:rsidRPr="00BA3A6D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II. Određuje se završno ročište za</w:t>
      </w:r>
      <w:r w:rsidR="00BA3A6D">
        <w:rPr>
          <w:sz w:val="24"/>
          <w:szCs w:val="24"/>
          <w:lang w:val="hr-HR"/>
        </w:rPr>
        <w:t xml:space="preserve"> 11.</w:t>
      </w:r>
      <w:r w:rsidRPr="00BA3A6D">
        <w:rPr>
          <w:sz w:val="24"/>
          <w:szCs w:val="24"/>
          <w:lang w:val="hr-HR"/>
        </w:rPr>
        <w:t xml:space="preserve"> </w:t>
      </w:r>
      <w:r w:rsidR="00BA3A6D">
        <w:rPr>
          <w:sz w:val="24"/>
          <w:szCs w:val="24"/>
          <w:lang w:val="hr-HR"/>
        </w:rPr>
        <w:t>travnja</w:t>
      </w:r>
      <w:r w:rsidR="00A626EF" w:rsidRPr="00BA3A6D">
        <w:rPr>
          <w:sz w:val="24"/>
          <w:szCs w:val="24"/>
          <w:lang w:val="hr-HR"/>
        </w:rPr>
        <w:t xml:space="preserve"> </w:t>
      </w:r>
      <w:r w:rsidRPr="00BA3A6D">
        <w:rPr>
          <w:sz w:val="24"/>
          <w:szCs w:val="24"/>
          <w:lang w:val="hr-HR"/>
        </w:rPr>
        <w:t>201</w:t>
      </w:r>
      <w:r w:rsidR="00A626EF" w:rsidRPr="00BA3A6D">
        <w:rPr>
          <w:sz w:val="24"/>
          <w:szCs w:val="24"/>
          <w:lang w:val="hr-HR"/>
        </w:rPr>
        <w:t>9</w:t>
      </w:r>
      <w:r w:rsidRPr="00BA3A6D">
        <w:rPr>
          <w:sz w:val="24"/>
          <w:szCs w:val="24"/>
          <w:lang w:val="hr-HR"/>
        </w:rPr>
        <w:t xml:space="preserve">. sa početkom u </w:t>
      </w:r>
      <w:r w:rsidR="00A626EF" w:rsidRPr="00BA3A6D">
        <w:rPr>
          <w:sz w:val="24"/>
          <w:szCs w:val="24"/>
          <w:lang w:val="hr-HR"/>
        </w:rPr>
        <w:t>1</w:t>
      </w:r>
      <w:r w:rsidR="00BA3A6D">
        <w:rPr>
          <w:sz w:val="24"/>
          <w:szCs w:val="24"/>
          <w:lang w:val="hr-HR"/>
        </w:rPr>
        <w:t xml:space="preserve">2:15 </w:t>
      </w:r>
      <w:r w:rsidRPr="00BA3A6D">
        <w:rPr>
          <w:sz w:val="24"/>
          <w:szCs w:val="24"/>
          <w:lang w:val="hr-HR"/>
        </w:rPr>
        <w:t>sati kod ovog suda, soba 111/I, sa Dnevnim redom:</w:t>
      </w:r>
    </w:p>
    <w:p w:rsidRDefault="00211511" w:rsidP="00211511" w:rsidR="00211511" w:rsidRPr="00BA3A6D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Raspravljanje o završnom izvješću i završnom računu stečajn</w:t>
      </w:r>
      <w:r w:rsidR="007A1E6E" w:rsidRPr="00BA3A6D">
        <w:rPr>
          <w:sz w:val="24"/>
          <w:szCs w:val="24"/>
          <w:lang w:val="hr-HR"/>
        </w:rPr>
        <w:t>og upravitelja</w:t>
      </w:r>
    </w:p>
    <w:p w:rsidRDefault="00211511" w:rsidP="00211511" w:rsidR="00211511" w:rsidRPr="00BA3A6D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 w:rsidRPr="00BA3A6D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7A1E6E" w:rsidR="002F578D" w:rsidRPr="00B17BD5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III. </w:t>
      </w:r>
      <w:r w:rsidR="002F578D" w:rsidRPr="00BA3A6D">
        <w:rPr>
          <w:sz w:val="24"/>
          <w:szCs w:val="24"/>
          <w:lang w:val="hr-HR"/>
        </w:rPr>
        <w:t xml:space="preserve">Na mrežnoj stranici e-Oglasna ploča sudova </w:t>
      </w:r>
      <w:r w:rsidR="00450BBE" w:rsidRPr="00BA3A6D">
        <w:rPr>
          <w:sz w:val="24"/>
          <w:szCs w:val="24"/>
          <w:lang w:val="hr-HR"/>
        </w:rPr>
        <w:t>15. ožujka</w:t>
      </w:r>
      <w:r w:rsidR="00FF5DDB" w:rsidRPr="00BA3A6D">
        <w:rPr>
          <w:sz w:val="24"/>
          <w:szCs w:val="24"/>
          <w:lang w:val="hr-HR"/>
        </w:rPr>
        <w:t xml:space="preserve"> 201</w:t>
      </w:r>
      <w:r w:rsidR="00450BBE" w:rsidRPr="00BA3A6D">
        <w:rPr>
          <w:sz w:val="24"/>
          <w:szCs w:val="24"/>
          <w:lang w:val="hr-HR"/>
        </w:rPr>
        <w:t>9</w:t>
      </w:r>
      <w:r w:rsidR="002F578D" w:rsidRPr="00BA3A6D">
        <w:rPr>
          <w:sz w:val="24"/>
          <w:szCs w:val="24"/>
          <w:lang w:val="hr-HR"/>
        </w:rPr>
        <w:t>. objavljen je</w:t>
      </w:r>
      <w:r w:rsidR="001C56C0" w:rsidRPr="00BA3A6D">
        <w:rPr>
          <w:sz w:val="24"/>
          <w:szCs w:val="24"/>
          <w:lang w:val="hr-HR"/>
        </w:rPr>
        <w:t xml:space="preserve"> ispi</w:t>
      </w:r>
      <w:r w:rsidR="001C56C0">
        <w:rPr>
          <w:sz w:val="24"/>
          <w:szCs w:val="24"/>
          <w:lang w:val="hr-HR"/>
        </w:rPr>
        <w:t xml:space="preserve">tani završni račun stečajnog </w:t>
      </w:r>
      <w:r w:rsidR="002F578D" w:rsidRPr="00B17BD5">
        <w:rPr>
          <w:sz w:val="24"/>
          <w:szCs w:val="24"/>
          <w:lang w:val="hr-HR"/>
        </w:rPr>
        <w:t>upravitelj</w:t>
      </w:r>
      <w:r w:rsidR="001C56C0">
        <w:rPr>
          <w:sz w:val="24"/>
          <w:szCs w:val="24"/>
          <w:lang w:val="hr-HR"/>
        </w:rPr>
        <w:t>a</w:t>
      </w:r>
      <w:r w:rsidR="00A626EF">
        <w:rPr>
          <w:sz w:val="24"/>
          <w:szCs w:val="24"/>
          <w:lang w:val="hr-HR"/>
        </w:rPr>
        <w:t>, kao i završni diobni popis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DC5800" w:rsidP="00450BBE" w:rsidR="00450BBE">
      <w:pPr>
        <w:tabs>
          <w:tab w:pos="709" w:val="left"/>
          <w:tab w:pos="6810" w:val="left"/>
        </w:tabs>
        <w:jc w:val="both"/>
        <w:rPr>
          <w:sz w:val="24"/>
          <w:szCs w:val="24"/>
          <w:lang w:eastAsia="en-US" w:val="hr-HR"/>
        </w:rPr>
      </w:pPr>
      <w:r>
        <w:rPr>
          <w:sz w:val="24"/>
          <w:szCs w:val="24"/>
          <w:lang w:eastAsia="en-US" w:val="hr-HR"/>
        </w:rPr>
        <w:tab/>
      </w:r>
      <w:r w:rsidR="00450BBE" w:rsidRPr="00450BBE">
        <w:rPr>
          <w:sz w:val="24"/>
          <w:szCs w:val="24"/>
          <w:lang w:eastAsia="en-US" w:val="hr-HR"/>
        </w:rPr>
        <w:t>Rješenjem ovog suda poslovni broj 11. St-116/2014 od 1. lipnja 2015. godine otvoren je stečajni postupak nad stečajnim dužnikom</w:t>
      </w:r>
      <w:r w:rsidR="00450BBE">
        <w:rPr>
          <w:sz w:val="24"/>
          <w:szCs w:val="24"/>
          <w:lang w:eastAsia="en-US" w:val="hr-HR"/>
        </w:rPr>
        <w:t>. Istim rješenjem za stečajnog upravitelja imenovan je Ivan Eterović iz Splita.</w:t>
      </w:r>
    </w:p>
    <w:p w:rsidRDefault="00DC5800" w:rsidP="00450BBE" w:rsidR="00450BBE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eastAsia="en-US" w:val="hr-HR"/>
        </w:rPr>
        <w:tab/>
      </w:r>
      <w:r w:rsidR="00450BBE">
        <w:rPr>
          <w:bCs/>
          <w:sz w:val="24"/>
          <w:szCs w:val="24"/>
          <w:lang w:val="hr-HR"/>
        </w:rPr>
        <w:t>Dana 13. ožujka 2019</w:t>
      </w:r>
      <w:r w:rsidR="00450BBE" w:rsidRPr="000C4D3F">
        <w:rPr>
          <w:bCs/>
          <w:sz w:val="24"/>
          <w:szCs w:val="24"/>
          <w:lang w:val="hr-HR"/>
        </w:rPr>
        <w:t xml:space="preserve">. </w:t>
      </w:r>
      <w:r w:rsidR="00450BBE">
        <w:rPr>
          <w:sz w:val="24"/>
          <w:szCs w:val="24"/>
          <w:lang w:val="hr-HR"/>
        </w:rPr>
        <w:t xml:space="preserve">stečajni upravitelj </w:t>
      </w:r>
      <w:r w:rsidR="00450BBE" w:rsidRPr="000C4D3F">
        <w:rPr>
          <w:sz w:val="24"/>
          <w:szCs w:val="24"/>
          <w:lang w:val="hr-HR"/>
        </w:rPr>
        <w:t>dostavio je  ovom sud</w:t>
      </w:r>
      <w:r w:rsidR="00450BBE">
        <w:rPr>
          <w:sz w:val="24"/>
          <w:szCs w:val="24"/>
          <w:lang w:val="hr-HR"/>
        </w:rPr>
        <w:t xml:space="preserve">u </w:t>
      </w:r>
      <w:r w:rsidR="00450BBE" w:rsidRPr="000C4D3F">
        <w:rPr>
          <w:sz w:val="24"/>
          <w:szCs w:val="24"/>
          <w:lang w:val="hr-HR"/>
        </w:rPr>
        <w:t>završni račun</w:t>
      </w:r>
      <w:r w:rsidR="00450BBE">
        <w:rPr>
          <w:sz w:val="24"/>
          <w:szCs w:val="24"/>
          <w:lang w:val="hr-HR"/>
        </w:rPr>
        <w:t>, koji je javno objavljen</w:t>
      </w:r>
      <w:r w:rsidR="00450BBE" w:rsidRPr="000C4D3F">
        <w:rPr>
          <w:sz w:val="24"/>
          <w:szCs w:val="24"/>
          <w:lang w:val="hr-HR"/>
        </w:rPr>
        <w:t xml:space="preserve"> </w:t>
      </w:r>
      <w:r w:rsidR="00450BBE">
        <w:rPr>
          <w:sz w:val="24"/>
          <w:szCs w:val="24"/>
          <w:lang w:val="hr-HR"/>
        </w:rPr>
        <w:t>15. ožujka 2019.</w:t>
      </w:r>
      <w:r w:rsidR="00450BBE" w:rsidRPr="000C4D3F">
        <w:rPr>
          <w:sz w:val="24"/>
          <w:szCs w:val="24"/>
          <w:lang w:val="hr-HR"/>
        </w:rPr>
        <w:t xml:space="preserve"> na mrežnoj stranici e-Oglasna ploča sudova (</w:t>
      </w:r>
      <w:r w:rsidR="00BA3A6D">
        <w:rPr>
          <w:sz w:val="24"/>
          <w:szCs w:val="24"/>
          <w:lang w:val="hr-HR"/>
        </w:rPr>
        <w:t>članak 89. stavak</w:t>
      </w:r>
      <w:r w:rsidR="00BA3A6D" w:rsidRPr="00BA3A6D">
        <w:rPr>
          <w:sz w:val="24"/>
          <w:szCs w:val="24"/>
          <w:lang w:val="hr-HR"/>
        </w:rPr>
        <w:t xml:space="preserve"> 3. Stečajnog zakona </w:t>
      </w:r>
      <w:r w:rsidR="00BA3A6D">
        <w:rPr>
          <w:sz w:val="24"/>
          <w:szCs w:val="24"/>
          <w:lang w:val="hr-HR"/>
        </w:rPr>
        <w:t xml:space="preserve">- </w:t>
      </w:r>
      <w:r w:rsidR="00BA3A6D" w:rsidRPr="00BA3A6D">
        <w:rPr>
          <w:sz w:val="24"/>
          <w:szCs w:val="24"/>
          <w:lang w:val="hr-HR"/>
        </w:rPr>
        <w:t>„Narodne novine“ 71/15 i 104/17; dalje SZ</w:t>
      </w:r>
      <w:r w:rsidR="00BA3A6D">
        <w:rPr>
          <w:sz w:val="24"/>
          <w:szCs w:val="24"/>
          <w:lang w:val="hr-HR"/>
        </w:rPr>
        <w:t>/15, u vezi sa člankom 441. stavkom</w:t>
      </w:r>
      <w:r w:rsidR="00BA3A6D" w:rsidRPr="00BA3A6D">
        <w:rPr>
          <w:sz w:val="24"/>
          <w:szCs w:val="24"/>
          <w:lang w:val="hr-HR"/>
        </w:rPr>
        <w:t xml:space="preserve"> 1. SZ/15).</w:t>
      </w:r>
      <w:r w:rsidR="00450BBE">
        <w:rPr>
          <w:sz w:val="24"/>
          <w:szCs w:val="24"/>
          <w:lang w:val="hr-HR"/>
        </w:rPr>
        <w:t xml:space="preserve"> </w:t>
      </w:r>
    </w:p>
    <w:p w:rsidRDefault="00BA3A6D" w:rsidP="00BA3A6D" w:rsidR="00BA3A6D" w:rsidRPr="00BA3A6D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>dredbom članka 192. stavka</w:t>
      </w:r>
      <w:r w:rsidRPr="00BA3A6D">
        <w:rPr>
          <w:sz w:val="24"/>
          <w:szCs w:val="24"/>
          <w:lang w:val="hr-HR"/>
        </w:rPr>
        <w:t xml:space="preserve"> 2. Stečajnog zakona („Narodne novine“ broj 44/96, 29/99, 129/00, 123/03, 82/06, 116/10, 25/12, 133/12 i 45/13 dalje SZ/96) u vezi sa čl</w:t>
      </w:r>
      <w:r>
        <w:rPr>
          <w:sz w:val="24"/>
          <w:szCs w:val="24"/>
          <w:lang w:val="hr-HR"/>
        </w:rPr>
        <w:t xml:space="preserve">ankom 441. stavkom </w:t>
      </w:r>
      <w:r w:rsidRPr="00BA3A6D">
        <w:rPr>
          <w:sz w:val="24"/>
          <w:szCs w:val="24"/>
          <w:lang w:val="hr-HR"/>
        </w:rPr>
        <w:t xml:space="preserve">1. SZ/15, završna dioba se može poduzeti samo uz suglasnost stečajnog suca. Kako iz </w:t>
      </w:r>
      <w:r w:rsidRPr="00BA3A6D">
        <w:rPr>
          <w:sz w:val="24"/>
          <w:szCs w:val="24"/>
          <w:lang w:val="hr-HR"/>
        </w:rPr>
        <w:lastRenderedPageBreak/>
        <w:t>stanja u spisu i navoda stečajnog upravitelja proizlazi da je unovčena sva stečajna masa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BA3A6D" w:rsidP="00BA3A6D" w:rsidR="00BA3A6D" w:rsidRPr="00BA3A6D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 članka 193. stavka</w:t>
      </w:r>
      <w:r w:rsidRPr="00BA3A6D">
        <w:rPr>
          <w:sz w:val="24"/>
          <w:szCs w:val="24"/>
          <w:lang w:val="hr-HR"/>
        </w:rPr>
        <w:t xml:space="preserve"> 1. SZ/96 propisano je da prigodom davanja suglasnosti na završnu diobu stečajni sudac određuje završno ročište vjerovnika. Kako je u ovom postupku dana suglasnost za završnu diobu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to je temeljem citirane odredbe određeno završno ročište vjerovnika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radi čega je odlučeno kao u izreci ovog rješenja pod točkom II.</w:t>
      </w:r>
    </w:p>
    <w:p w:rsidRDefault="00BA3A6D" w:rsidP="00BA3A6D" w:rsidR="00BA3A6D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Temeljem odredbe </w:t>
      </w:r>
      <w:r>
        <w:rPr>
          <w:sz w:val="24"/>
          <w:szCs w:val="24"/>
          <w:lang w:val="hr-HR"/>
        </w:rPr>
        <w:t>članka 31. stavka</w:t>
      </w:r>
      <w:r w:rsidRPr="00BA3A6D">
        <w:rPr>
          <w:sz w:val="24"/>
          <w:szCs w:val="24"/>
          <w:lang w:val="hr-HR"/>
        </w:rPr>
        <w:t xml:space="preserve"> 2. i 3. SZ/96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anka</w:t>
      </w:r>
      <w:r w:rsidRPr="00BA3A6D">
        <w:rPr>
          <w:sz w:val="24"/>
          <w:szCs w:val="24"/>
          <w:lang w:val="hr-HR"/>
        </w:rPr>
        <w:t xml:space="preserve"> 184. st</w:t>
      </w:r>
      <w:r>
        <w:rPr>
          <w:sz w:val="24"/>
          <w:szCs w:val="24"/>
          <w:lang w:val="hr-HR"/>
        </w:rPr>
        <w:t>avka 2. SZ/96 i članka 95. stavka 4. SZ/15, u vezi sa člankom</w:t>
      </w:r>
      <w:r w:rsidRPr="00BA3A6D">
        <w:rPr>
          <w:sz w:val="24"/>
          <w:szCs w:val="24"/>
          <w:lang w:val="hr-HR"/>
        </w:rPr>
        <w:t xml:space="preserve"> 441. st</w:t>
      </w:r>
      <w:r>
        <w:rPr>
          <w:sz w:val="24"/>
          <w:szCs w:val="24"/>
          <w:lang w:val="hr-HR"/>
        </w:rPr>
        <w:t xml:space="preserve">avkom 1. SZ/15, </w:t>
      </w:r>
      <w:r w:rsidRPr="00BA3A6D">
        <w:rPr>
          <w:sz w:val="24"/>
          <w:szCs w:val="24"/>
          <w:lang w:val="hr-HR"/>
        </w:rPr>
        <w:t>odlučeno je kao u izreci ovog rješenja pod točkom</w:t>
      </w:r>
      <w:r>
        <w:rPr>
          <w:sz w:val="24"/>
          <w:szCs w:val="24"/>
          <w:lang w:val="hr-HR"/>
        </w:rPr>
        <w:t xml:space="preserve"> III</w:t>
      </w:r>
      <w:r w:rsidRPr="00BA3A6D">
        <w:rPr>
          <w:sz w:val="24"/>
          <w:szCs w:val="24"/>
          <w:lang w:val="hr-HR"/>
        </w:rPr>
        <w:t>.</w:t>
      </w:r>
    </w:p>
    <w:p w:rsidRDefault="00211511" w:rsidP="00450BBE" w:rsidR="00211511" w:rsidRPr="000C4D3F">
      <w:pPr>
        <w:tabs>
          <w:tab w:pos="709" w:val="left"/>
          <w:tab w:pos="6810" w:val="left"/>
        </w:tabs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BA3A6D">
        <w:rPr>
          <w:sz w:val="24"/>
          <w:szCs w:val="24"/>
          <w:lang w:val="hr-HR"/>
        </w:rPr>
        <w:t>20. ožujka</w:t>
      </w:r>
      <w:r w:rsidR="00450BBE">
        <w:rPr>
          <w:sz w:val="24"/>
          <w:szCs w:val="24"/>
          <w:lang w:val="hr-HR"/>
        </w:rPr>
        <w:t xml:space="preserve"> 2019.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4754F4" w:rsidRPr="004754F4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4754F4">
        <w:rPr>
          <w:sz w:val="24"/>
          <w:szCs w:val="24"/>
          <w:lang w:val="hr-HR"/>
        </w:rPr>
        <w:t>Golub Gruić</w:t>
      </w:r>
      <w:r w:rsidR="004754F4" w:rsidRPr="004754F4">
        <w:rPr>
          <w:sz w:val="24"/>
          <w:szCs w:val="24"/>
        </w:rPr>
        <w:t>, v.r.</w:t>
      </w:r>
    </w:p>
    <w:p w:rsidRDefault="004754F4" w:rsidP="008832A6" w:rsidR="004754F4" w:rsidRPr="004754F4">
      <w:pPr>
        <w:jc w:val="right"/>
        <w:rPr>
          <w:sz w:val="24"/>
          <w:szCs w:val="24"/>
        </w:rPr>
      </w:pPr>
      <w:r w:rsidRPr="004754F4">
        <w:rPr>
          <w:sz w:val="24"/>
          <w:szCs w:val="24"/>
        </w:rPr>
        <w:t>za točnost otpravka – ovlašteni službenik</w:t>
      </w:r>
    </w:p>
    <w:p w:rsidRDefault="004754F4" w:rsidP="008832A6" w:rsidR="004754F4" w:rsidRPr="004754F4">
      <w:pPr>
        <w:ind w:firstLine="708" w:left="4956"/>
        <w:jc w:val="center"/>
        <w:rPr>
          <w:sz w:val="24"/>
          <w:szCs w:val="24"/>
        </w:rPr>
      </w:pPr>
      <w:r w:rsidRPr="004754F4">
        <w:rPr>
          <w:sz w:val="24"/>
          <w:szCs w:val="24"/>
        </w:rPr>
        <w:t>Ana Bosančić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Sect="001C56C0" w:rsidR="00211511" w:rsidRPr="000C4D3F">
      <w:headerReference w:type="default" r:id="rId11"/>
      <w:headerReference w:type="first" r:id="rId12"/>
      <w:pgSz w:h="15840" w:w="12240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4754F4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</w:t>
    </w:r>
    <w:r w:rsidR="00450BBE">
      <w:rPr>
        <w:sz w:val="24"/>
        <w:szCs w:val="24"/>
        <w:lang w:val="hr-HR"/>
      </w:rPr>
      <w:t>116/2014-99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C56C0"/>
    <w:rsid w:val="001F5AE0"/>
    <w:rsid w:val="00202CAA"/>
    <w:rsid w:val="00205A13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73C71"/>
    <w:rsid w:val="00391F8F"/>
    <w:rsid w:val="00394879"/>
    <w:rsid w:val="003A7C4D"/>
    <w:rsid w:val="003E0E21"/>
    <w:rsid w:val="003F3BB8"/>
    <w:rsid w:val="00450BBE"/>
    <w:rsid w:val="00457222"/>
    <w:rsid w:val="004621C7"/>
    <w:rsid w:val="004754F4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C0A1E"/>
    <w:rsid w:val="005C2557"/>
    <w:rsid w:val="005D51BE"/>
    <w:rsid w:val="005D5F3B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B3F2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A1E6E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A3A6D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C5800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  <w:rsid w:val="00FF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TOPOLA društvo s ograničenom odgovornošću za projektiranje, nadzor i građenje u stečaju</izvorni_sadrzaj>
    <derivirana_varijabla naziv="DomainObject.Predmet.ProtustrankaFormated_1">  TOPOLA društvo s ograničenom odgovornošću za projektiranje, nadzor i građenje u stečaju</derivirana_varijabla>
  </DomainObject.Predmet.ProtustrankaFormated>
  <DomainObject.Predmet.ProtustrankaFormatedOIB>
    <izvorni_sadrzaj>  TOPOLA društvo s ograničenom odgovornošću za projektiranje, nadzor i građenje u stečaju, OIB 78168323445</izvorni_sadrzaj>
    <derivirana_varijabla naziv="DomainObject.Predmet.ProtustrankaFormatedOIB_1">  TOPOLA društvo s ograničenom odgovornošću za projektiranje, nadzor i građenje u stečaju, OIB 78168323445</derivirana_varijabla>
  </DomainObject.Predmet.ProtustrankaFormatedOIB>
  <DomainObject.Predmet.ProtustrankaFormatedWithAdress>
    <izvorni_sadrzaj> TOPOLA društvo s ograničenom odgovornošću za projektiranje, nadzor i građenje u stečaju, Imotskih iseljenika 3, 21260 Imotski</izvorni_sadrzaj>
    <derivirana_varijabla naziv="DomainObject.Predmet.ProtustrankaFormatedWithAdress_1"> TOPOLA društvo s ograničenom odgovornošću za projektiranje, nadzor i građenje u stečaju,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 u stečaju, OIB 78168323445, Imotskih iseljenika 3, 21260 Imotski</izvorni_sadrzaj>
    <derivirana_varijabla naziv="DomainObject.Predmet.ProtustrankaFormatedWithAdressOIB_1"> TOPOLA društvo s ograničenom odgovornošću za projektiranje, nadzor i građenje u stečaju,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u stečaju Imotskih iseljenika 3, 21260 Imotski</izvorni_sadrzaj>
    <derivirana_varijabla naziv="DomainObject.Predmet.ProtustrankaWithAdress_1">TOPOLA društvo s ograničenom odgovornošću za projektiranje, nadzor i građenje u stečaju Imotskih iseljenika 3, 21260 Imotski</derivirana_varijabla>
  </DomainObject.Predmet.ProtustrankaWithAdress>
  <DomainObject.Predmet.ProtustrankaWithAdressOIB>
    <izvorni_sadrzaj>TOPOLA društvo s ograničenom odgovornošću za projektiranje, nadzor i građenje u stečaju, OIB 78168323445, Imotskih iseljenika 3, 21260 Imotski</izvorni_sadrzaj>
    <derivirana_varijabla naziv="DomainObject.Predmet.ProtustrankaWithAdressOIB_1">TOPOLA društvo s ograničenom odgovornošću za projektiranje, nadzor i građenje u stečaju,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 u stečaju</izvorni_sadrzaj>
    <derivirana_varijabla naziv="DomainObject.Predmet.ProtustrankaNazivFormated_1">TOPOLA društvo s ograničenom odgovornošću za projektiranje, nadzor i građenje u stečaju</derivirana_varijabla>
  </DomainObject.Predmet.ProtustrankaNazivFormated>
  <DomainObject.Predmet.ProtustrankaNazivFormatedOIB>
    <izvorni_sadrzaj>TOPOLA društvo s ograničenom odgovornošću za projektiranje, nadzor i građenje u stečaju, OIB 78168323445</izvorni_sadrzaj>
    <derivirana_varijabla naziv="DomainObject.Predmet.ProtustrankaNazivFormatedOIB_1">TOPOLA društvo s ograničenom odgovornošću za projektiranje, nadzor i građenje u stečaju,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 u stečaju</item>
    </izvorni_sadrzaj>
    <derivirana_varijabla naziv="DomainObject.Predmet.ProtuStrankaListFormated_1">
      <item>TOPOLA društvo s ograničenom odgovornošću za projektiranje, nadzor i građenje u stečaju</item>
    </derivirana_varijabla>
  </DomainObject.Predmet.ProtuStrankaListFormated>
  <DomainObject.Predmet.ProtuStrankaListFormatedOIB>
    <izvorni_sadrzaj>
      <item>TOPOLA društvo s ograničenom odgovornošću za projektiranje, nadzor i građenje u stečaju, OIB 78168323445</item>
    </izvorni_sadrzaj>
    <derivirana_varijabla naziv="DomainObject.Predmet.ProtuStrankaListFormatedOIB_1">
      <item>TOPOLA društvo s ograničenom odgovornošću za projektiranje, nadzor i građenje u stečaju,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 u stečaju, Imotskih iseljenika 3, 21260 Imotski</item>
    </izvorni_sadrzaj>
    <derivirana_varijabla naziv="DomainObject.Predmet.ProtuStrankaListFormatedWithAdress_1">
      <item>TOPOLA društvo s ograničenom odgovornošću za projektiranje, nadzor i građenje u stečaju,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 u stečaju, OIB 78168323445, Imotskih iseljenika 3, 21260 Imotski</item>
    </izvorni_sadrzaj>
    <derivirana_varijabla naziv="DomainObject.Predmet.ProtuStrankaListFormatedWithAdressOIB_1">
      <item>TOPOLA društvo s ograničenom odgovornošću za projektiranje, nadzor i građenje u stečaju,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 u stečaju</item>
    </izvorni_sadrzaj>
    <derivirana_varijabla naziv="DomainObject.Predmet.ProtuStrankaListNazivFormated_1">
      <item>TOPOLA društvo s ograničenom odgovornošću za projektiranje, nadzor i građenje u stečaju</item>
    </derivirana_varijabla>
  </DomainObject.Predmet.ProtuStrankaListNazivFormated>
  <DomainObject.Predmet.ProtuStrankaListNazivFormatedOIB>
    <izvorni_sadrzaj>
      <item>TOPOLA društvo s ograničenom odgovornošću za projektiranje, nadzor i građenje u stečaju, OIB 78168323445</item>
    </izvorni_sadrzaj>
    <derivirana_varijabla naziv="DomainObject.Predmet.ProtuStrankaListNazivFormatedOIB_1">
      <item>TOPOLA društvo s ograničenom odgovornošću za projektiranje, nadzor i građenje u stečaju,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 u stečaju</izvorni_sadrzaj>
    <derivirana_varijabla naziv="DomainObject.Predmet.ProtustrankaIDrugi_1">TOPOLA društvo s ograničenom odgovornošću za projektiranje, nadzor i građenje u stečaju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 u stečaju, OIB 78168323445, Imotskih iseljenika 3, 21260 Imotski</izvorni_sadrzaj>
    <derivirana_varijabla naziv="DomainObject.Predmet.ProtustrankaIDrugiAdressOIB_1">TOPOLA društvo s ograničenom odgovornošću za projektiranje, nadzor i građenje u stečaju,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C6785-073D-49CB-99D2-DFF90D089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2772</properties:Characters>
  <properties:Lines>66</properties:Lines>
  <properties:Paragraphs>26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2019-03-20T09:36:00Z</cp:lastPrinted>
  <dcterms:modified xmlns:xsi="http://www.w3.org/2001/XMLSchema-instance" xsi:type="dcterms:W3CDTF">2019-03-20T09:36:00Z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(St-116-2014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