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e91f77" w14:paraId="6e91f77" w:rsidRDefault="00A6139B" w:rsidP="00924FFF" w:rsidR="00924FFF" w:rsidRPr="003F3DF6">
      <w:pPr>
        <w15:collapsed w:val="false"/>
        <w:rPr>
          <w:rFonts w:cs="Arial" w:hAnsi="Arial" w:ascii="Arial"/>
        </w:rPr>
      </w:pPr>
      <w:bookmarkStart w:name="_GoBack" w:id="0"/>
      <w:bookmarkEnd w:id="0"/>
      <w:r w:rsidRPr="003F3DF6">
        <w:rPr>
          <w:rFonts w:cs="Arial" w:hAnsi="Arial" w:ascii="Arial"/>
        </w:rPr>
        <w:tab/>
      </w:r>
    </w:p>
    <w:p w:rsidRDefault="00924FFF" w:rsidP="00924FFF" w:rsidR="00924FFF" w:rsidRPr="003F3DF6">
      <w:pPr>
        <w:rPr>
          <w:rFonts w:cs="Arial" w:hAnsi="Arial" w:ascii="Arial"/>
        </w:rPr>
      </w:pPr>
    </w:p>
    <w:p w:rsidRDefault="00924FFF" w:rsidP="00924FFF" w:rsidR="00924FFF"/>
    <w:p w:rsidRDefault="00234A1B" w:rsidP="00924FFF" w:rsidR="00234A1B" w:rsidRPr="003F3DF6"/>
    <w:p w:rsidRDefault="00924FFF" w:rsidP="00924FFF" w:rsidR="00924FFF" w:rsidRPr="00202FCE">
      <w:pPr>
        <w:rPr>
          <w:bCs/>
        </w:rPr>
      </w:pPr>
      <w:r w:rsidRPr="00202FCE">
        <w:rPr>
          <w:bCs/>
        </w:rPr>
        <w:t>REPUBLIKA HRVATSKA</w:t>
      </w:r>
    </w:p>
    <w:p w:rsidRDefault="00924FFF" w:rsidP="00924FFF" w:rsidR="00924FFF" w:rsidRPr="00202FCE">
      <w:r w:rsidRPr="00202FCE">
        <w:rPr>
          <w:bCs/>
        </w:rPr>
        <w:t>TRGOVAČKI SUD U ZADRU</w:t>
      </w:r>
      <w:r w:rsidRPr="00202FCE">
        <w:rPr>
          <w:bCs/>
        </w:rPr>
        <w:tab/>
      </w:r>
      <w:r w:rsidRPr="00202FCE">
        <w:tab/>
      </w:r>
      <w:r w:rsidRPr="00202FCE">
        <w:tab/>
      </w:r>
      <w:r w:rsidRPr="00202FCE">
        <w:tab/>
      </w:r>
      <w:r w:rsidRPr="00202FCE">
        <w:tab/>
      </w:r>
      <w:r w:rsidRPr="00202FCE">
        <w:tab/>
      </w:r>
    </w:p>
    <w:p w:rsidRDefault="009B1942" w:rsidP="009B1942" w:rsidR="009B1942" w:rsidRPr="00202FCE">
      <w:r w:rsidRPr="00202FCE">
        <w:t>Dr. Franje Tuđmana 35</w:t>
      </w:r>
      <w:r w:rsidRPr="00202FCE">
        <w:tab/>
      </w:r>
      <w:r w:rsidRPr="00202FCE">
        <w:tab/>
      </w:r>
    </w:p>
    <w:p w:rsidRDefault="009B1942" w:rsidP="009B1942" w:rsidR="009B1942" w:rsidRPr="00202FCE"/>
    <w:p w:rsidRDefault="009B1942" w:rsidP="009B1942" w:rsidR="009B1942" w:rsidRPr="00202FCE">
      <w:pPr>
        <w:jc w:val="center"/>
        <w:rPr>
          <w:bCs/>
        </w:rPr>
      </w:pPr>
      <w:r w:rsidRPr="00202FCE">
        <w:rPr>
          <w:bCs/>
        </w:rPr>
        <w:t>R E P U B L I K A   H R V A T S K A</w:t>
      </w:r>
    </w:p>
    <w:p w:rsidRDefault="009B1942" w:rsidP="009B1942" w:rsidR="009B1942" w:rsidRPr="00202FCE">
      <w:pPr>
        <w:jc w:val="center"/>
        <w:rPr>
          <w:bCs/>
        </w:rPr>
      </w:pPr>
    </w:p>
    <w:p w:rsidRDefault="00924FFF" w:rsidP="00924FFF" w:rsidR="00924FFF" w:rsidRPr="00202FCE">
      <w:pPr>
        <w:jc w:val="center"/>
        <w:rPr>
          <w:bCs/>
        </w:rPr>
      </w:pPr>
      <w:r w:rsidRPr="00202FCE">
        <w:rPr>
          <w:bCs/>
        </w:rPr>
        <w:t>R J E Š E N J E</w:t>
      </w:r>
    </w:p>
    <w:p w:rsidRDefault="00924FFF" w:rsidP="00DA72D5" w:rsidR="00924FFF" w:rsidRPr="00202FCE">
      <w:pPr>
        <w:jc w:val="both"/>
      </w:pPr>
    </w:p>
    <w:p w:rsidRDefault="00E81AD9" w:rsidP="00E81AD9" w:rsidR="001461BE">
      <w:pPr>
        <w:ind w:firstLine="708"/>
        <w:jc w:val="both"/>
        <w:rPr>
          <w:sz w:val="22"/>
          <w:szCs w:val="22"/>
        </w:rPr>
      </w:pPr>
      <w:r w:rsidRPr="005B6166">
        <w:rPr>
          <w:sz w:val="22"/>
          <w:szCs w:val="22"/>
        </w:rPr>
        <w:t xml:space="preserve">Trgovački sud u Zadru, po sutkinji Ana Markač, u stečajnom postupku nad stečajnim dužnikom </w:t>
      </w:r>
      <w:r w:rsidR="001461BE">
        <w:t>ŠKVERIĆ, d.o.o. u stečaju, Biograd na Moru,  Kornatska 2, OIB:60841016992, kojeg zastupa stečajni uprav</w:t>
      </w:r>
      <w:r w:rsidR="000618F6">
        <w:t xml:space="preserve">itelj Blaž Savić iz Zadra, </w:t>
      </w:r>
      <w:r w:rsidR="001461BE">
        <w:t>9. listopada 2018.,</w:t>
      </w:r>
    </w:p>
    <w:p w:rsidRDefault="008901BD" w:rsidP="001461BE" w:rsidR="008901BD">
      <w:pPr>
        <w:jc w:val="both"/>
      </w:pPr>
    </w:p>
    <w:p w:rsidRDefault="00DA72D5" w:rsidP="00DA72D5" w:rsidR="00DA72D5" w:rsidRPr="00202FCE">
      <w:pPr>
        <w:jc w:val="center"/>
        <w:rPr>
          <w:rFonts w:cstheme="majorBidi" w:hAnsiTheme="majorBidi" w:asciiTheme="majorBidi"/>
        </w:rPr>
      </w:pPr>
      <w:r w:rsidRPr="00202FCE">
        <w:rPr>
          <w:rFonts w:cstheme="majorBidi" w:hAnsiTheme="majorBidi" w:asciiTheme="majorBidi"/>
        </w:rPr>
        <w:t>r i j e š i o  j e</w:t>
      </w:r>
    </w:p>
    <w:p w:rsidRDefault="00DA72D5" w:rsidP="00DA72D5" w:rsidR="00DA72D5" w:rsidRPr="003F3DF6">
      <w:pPr>
        <w:jc w:val="center"/>
        <w:rPr>
          <w:rFonts w:cstheme="majorBidi" w:hAnsiTheme="majorBidi" w:asciiTheme="majorBidi"/>
          <w:b/>
        </w:rPr>
      </w:pPr>
    </w:p>
    <w:p w:rsidRDefault="00B55989" w:rsidP="00B96E4F" w:rsidR="00DA72D5" w:rsidRPr="001461BE">
      <w:pPr>
        <w:jc w:val="both"/>
        <w:rPr>
          <w:color w:val="FF0000"/>
        </w:rPr>
      </w:pPr>
      <w:r>
        <w:rPr>
          <w:rFonts w:cstheme="majorBidi" w:hAnsiTheme="majorBidi" w:asciiTheme="majorBidi"/>
        </w:rPr>
        <w:t>I.</w:t>
      </w:r>
      <w:r>
        <w:rPr>
          <w:rFonts w:cstheme="majorBidi" w:hAnsiTheme="majorBidi" w:asciiTheme="majorBidi"/>
        </w:rPr>
        <w:tab/>
      </w:r>
      <w:r w:rsidR="00DA72D5" w:rsidRPr="00B55989">
        <w:rPr>
          <w:rFonts w:cstheme="majorBidi" w:hAnsiTheme="majorBidi" w:asciiTheme="majorBidi"/>
        </w:rPr>
        <w:t>Stečajno</w:t>
      </w:r>
      <w:r w:rsidR="00907F57" w:rsidRPr="00B55989">
        <w:rPr>
          <w:rFonts w:cstheme="majorBidi" w:hAnsiTheme="majorBidi" w:asciiTheme="majorBidi"/>
        </w:rPr>
        <w:t>m upravitelju</w:t>
      </w:r>
      <w:r w:rsidR="008901BD" w:rsidRPr="008901BD">
        <w:t xml:space="preserve"> </w:t>
      </w:r>
      <w:r w:rsidR="001461BE" w:rsidRPr="00E41AFF">
        <w:t>Blaž</w:t>
      </w:r>
      <w:r w:rsidR="001461BE">
        <w:t>u</w:t>
      </w:r>
      <w:r w:rsidR="001461BE" w:rsidRPr="00E41AFF">
        <w:t xml:space="preserve"> Savić</w:t>
      </w:r>
      <w:r w:rsidR="001461BE">
        <w:t>u</w:t>
      </w:r>
      <w:r w:rsidR="001461BE" w:rsidRPr="00E41AFF">
        <w:t xml:space="preserve"> iz Zadra, B. J</w:t>
      </w:r>
      <w:r w:rsidR="001461BE">
        <w:t xml:space="preserve">. Jelačića 4/5, OIB:44660472906, </w:t>
      </w:r>
      <w:r w:rsidR="00234A1B" w:rsidRPr="00CF669A">
        <w:t xml:space="preserve">s osnova </w:t>
      </w:r>
      <w:r w:rsidR="00316167">
        <w:t xml:space="preserve">vrijednosti unovčene </w:t>
      </w:r>
      <w:r w:rsidR="00234A1B" w:rsidRPr="00CF669A">
        <w:t>stečajne mase</w:t>
      </w:r>
      <w:r w:rsidR="00234A1B">
        <w:t xml:space="preserve"> </w:t>
      </w:r>
      <w:r w:rsidR="00B96E4F">
        <w:t xml:space="preserve">u stečajnom postupku nad uvodno označenim stečajnim dužnikom </w:t>
      </w:r>
      <w:r w:rsidR="00DA72D5" w:rsidRPr="00B55989">
        <w:rPr>
          <w:rFonts w:cstheme="majorBidi" w:hAnsiTheme="majorBidi" w:asciiTheme="majorBidi"/>
        </w:rPr>
        <w:t xml:space="preserve">određuje se nagrada u iznosu od </w:t>
      </w:r>
      <w:r w:rsidR="00740A7F">
        <w:rPr>
          <w:rFonts w:hAnsi="Minion Pro" w:ascii="Minion Pro"/>
          <w:color w:val="000000"/>
        </w:rPr>
        <w:t>49.796,87</w:t>
      </w:r>
      <w:r w:rsidR="00B96E4F">
        <w:rPr>
          <w:rFonts w:cstheme="majorBidi" w:hAnsiTheme="majorBidi" w:asciiTheme="majorBidi"/>
        </w:rPr>
        <w:t xml:space="preserve">kn </w:t>
      </w:r>
      <w:r w:rsidR="00DA72D5" w:rsidRPr="00B55989">
        <w:rPr>
          <w:rFonts w:cstheme="majorBidi" w:hAnsiTheme="majorBidi" w:asciiTheme="majorBidi"/>
        </w:rPr>
        <w:t>bruto.</w:t>
      </w:r>
    </w:p>
    <w:p w:rsidRDefault="00DA72D5" w:rsidP="00DA72D5" w:rsidR="00DA72D5" w:rsidRPr="003F3DF6">
      <w:pPr>
        <w:rPr>
          <w:rFonts w:cstheme="majorBidi" w:hAnsiTheme="majorBidi" w:asciiTheme="majorBidi"/>
        </w:rPr>
      </w:pPr>
    </w:p>
    <w:p w:rsidRDefault="00B96E4F" w:rsidP="00B96E4F" w:rsidR="00B96E4F">
      <w:pPr>
        <w:jc w:val="both"/>
      </w:pPr>
      <w:r w:rsidRPr="00DA585C">
        <w:t>II</w:t>
      </w:r>
      <w:r>
        <w:t>.</w:t>
      </w:r>
      <w:r w:rsidRPr="00DA585C">
        <w:t xml:space="preserve"> </w:t>
      </w:r>
      <w:r>
        <w:tab/>
        <w:t xml:space="preserve">Isplata nagrade iz točke I. izreke ovog rješenja izvršiti će se s računa stečajnog dužnika. </w:t>
      </w:r>
    </w:p>
    <w:p w:rsidRDefault="00BB2461" w:rsidP="00B96E4F" w:rsidR="00BB2461">
      <w:pPr>
        <w:jc w:val="both"/>
      </w:pPr>
    </w:p>
    <w:p w:rsidRDefault="00BB2461" w:rsidP="00BB2461" w:rsidR="00BB2461">
      <w:pPr>
        <w:jc w:val="both"/>
      </w:pPr>
      <w:r>
        <w:t xml:space="preserve">III. </w:t>
      </w:r>
      <w:r>
        <w:tab/>
        <w:t xml:space="preserve">Ovo rješenje objavit će se na mrežnoj stranici e-Oglasna ploča sudova. </w:t>
      </w:r>
    </w:p>
    <w:p w:rsidRDefault="00100EF0" w:rsidP="003827E7" w:rsidR="00100EF0">
      <w:pPr>
        <w:jc w:val="both"/>
        <w:rPr>
          <w:rFonts w:cstheme="majorBidi" w:hAnsiTheme="majorBidi" w:asciiTheme="majorBidi"/>
        </w:rPr>
      </w:pPr>
    </w:p>
    <w:p w:rsidRDefault="00740A7F" w:rsidP="003827E7" w:rsidR="00740A7F" w:rsidRPr="003827E7">
      <w:pPr>
        <w:jc w:val="both"/>
        <w:rPr>
          <w:rFonts w:cstheme="majorBidi" w:hAnsiTheme="majorBidi" w:asciiTheme="majorBidi"/>
        </w:rPr>
      </w:pPr>
    </w:p>
    <w:p w:rsidRDefault="00DA72D5" w:rsidP="005304D0" w:rsidR="00DA72D5">
      <w:pPr>
        <w:jc w:val="center"/>
        <w:rPr>
          <w:rFonts w:cstheme="majorBidi" w:hAnsiTheme="majorBidi" w:asciiTheme="majorBidi"/>
        </w:rPr>
      </w:pPr>
      <w:r w:rsidRPr="003F3DF6">
        <w:rPr>
          <w:rFonts w:cstheme="majorBidi" w:hAnsiTheme="majorBidi" w:asciiTheme="majorBidi"/>
        </w:rPr>
        <w:t>O</w:t>
      </w:r>
      <w:r w:rsidR="005304D0">
        <w:rPr>
          <w:rFonts w:cstheme="majorBidi" w:hAnsiTheme="majorBidi" w:asciiTheme="majorBidi"/>
        </w:rPr>
        <w:t xml:space="preserve">brazloženje </w:t>
      </w:r>
    </w:p>
    <w:p w:rsidRDefault="005304D0" w:rsidP="005304D0" w:rsidR="005304D0" w:rsidRPr="003F3DF6">
      <w:pPr>
        <w:jc w:val="center"/>
        <w:rPr>
          <w:rFonts w:cstheme="majorBidi" w:hAnsiTheme="majorBidi" w:asciiTheme="majorBidi"/>
        </w:rPr>
      </w:pPr>
    </w:p>
    <w:p w:rsidRDefault="009C378D" w:rsidP="00EE1D2F" w:rsidR="00FD65E5">
      <w:pPr>
        <w:ind w:firstLine="708"/>
        <w:jc w:val="both"/>
      </w:pPr>
      <w:r w:rsidRPr="00835C6E">
        <w:t>Stečajn</w:t>
      </w:r>
      <w:r>
        <w:t xml:space="preserve">i upravitelj </w:t>
      </w:r>
      <w:r w:rsidRPr="00835C6E">
        <w:t xml:space="preserve">podneskom od </w:t>
      </w:r>
      <w:r w:rsidR="001461BE">
        <w:t xml:space="preserve">2. svibnja 2018., dopunjen podneskom od 1. kolovoza 2018. </w:t>
      </w:r>
      <w:r w:rsidR="00FD65E5">
        <w:t>predložio je sudu</w:t>
      </w:r>
      <w:r w:rsidR="001461BE">
        <w:t>,</w:t>
      </w:r>
      <w:r w:rsidR="00FD65E5">
        <w:t xml:space="preserve"> da mu isti odredi nagradu jer da je unovčena sva imovina stečajnog dužnika </w:t>
      </w:r>
      <w:r w:rsidR="001461BE">
        <w:t xml:space="preserve">i to brodice 1167 BG, 1171 BG i 1169 BG </w:t>
      </w:r>
      <w:r w:rsidR="00FD65E5">
        <w:t xml:space="preserve">u ukupnom iznosu od </w:t>
      </w:r>
      <w:r w:rsidR="001461BE">
        <w:t>12.968,75 kn, zatim višenamjenska građevina - hala metalna konstrukcija za iznos od ukupno 385.000,00 kn, a pored toga da je naplaćeno i iznos od 6.000,00 kn, a koji iznos da se odnosi na uplate Trgovačkog suda u Zadru, sa kontovnika depozita, dakle ukupno iznos od 403.968,75kn.</w:t>
      </w:r>
    </w:p>
    <w:p w:rsidRDefault="00100EF0" w:rsidP="00FD65E5" w:rsidR="00100EF0">
      <w:pPr>
        <w:ind w:firstLine="708"/>
        <w:jc w:val="both"/>
      </w:pPr>
      <w:r>
        <w:t>Odredbom čl. 94. st. 1. i 2. Stečajnog zakona (Narodne novine broj 71/2015</w:t>
      </w:r>
      <w:r w:rsidR="00EE1D2F">
        <w:t xml:space="preserve"> i 104/2017</w:t>
      </w:r>
      <w:r>
        <w:t>, nadalje SZ) propisano je da stečajni upravitelj između ostalog ima pravo i na nagradu koju rješenjem određuje sud prema uredbi kojom Vlada Republike Hrvatske utvrđuje kriterije i način obračuna i plaćanja nagrade stečajnim upraviteljima.</w:t>
      </w:r>
      <w:r w:rsidR="00935D8A">
        <w:t xml:space="preserve"> Stavkom 4. istog članka Zakona propisano je da će se rješenje iz st. 2. objaviti  na mrežnoj stranici e-Oglasna ploča sudova.</w:t>
      </w:r>
    </w:p>
    <w:p w:rsidRDefault="00316167" w:rsidP="00316167" w:rsidR="00316167">
      <w:pPr>
        <w:pStyle w:val="t-9-8"/>
        <w:spacing w:afterAutospacing="false" w:after="225" w:beforeAutospacing="false" w:before="0"/>
        <w:ind w:firstLine="708"/>
        <w:jc w:val="both"/>
        <w:textAlignment w:val="baseline"/>
        <w:rPr>
          <w:color w:val="000000"/>
        </w:rPr>
      </w:pPr>
      <w:r w:rsidRPr="00CF669A">
        <w:rPr>
          <w:color w:val="000000"/>
        </w:rPr>
        <w:t xml:space="preserve">Člankom 6. </w:t>
      </w:r>
      <w:r w:rsidRPr="00CF669A">
        <w:t>Uredbe o kriterijima i načinu obračun i plaćanja nagrade stečajnim upraviteljima (Narode novine broj 105/15, nadalje Uredba) propisano je</w:t>
      </w:r>
      <w:r>
        <w:t>,</w:t>
      </w:r>
      <w:r w:rsidRPr="00CF669A">
        <w:rPr>
          <w:color w:val="000000"/>
        </w:rPr>
        <w:t xml:space="preserve"> da nagrada stečajnom upravitelju iznosi najviše 795.000,00 kuna od čega s osnove vrijednosti unovčene stečajne mase najviše 630.000,00 kuna, s osnove dodatne nagrade najviše 150.000,00 kuna i s osnove posebne nagrade najviše 15.000,00 kuna. Nadalje, čl. 7. Uredbe propisano je da se nagrada stečajnom upravitelju s osnove vrijednosti unovčene stečajne mase obračunava se primjenom tablice vrijednosti unovčene stečajne mase i nagrade u postocima:</w:t>
      </w:r>
    </w:p>
    <w:p w:rsidRDefault="00740A7F" w:rsidP="00316167" w:rsidR="00740A7F" w:rsidRPr="00CF669A">
      <w:pPr>
        <w:pStyle w:val="t-9-8"/>
        <w:spacing w:afterAutospacing="false" w:after="225" w:beforeAutospacing="false" w:before="0"/>
        <w:ind w:firstLine="708"/>
        <w:jc w:val="both"/>
        <w:textAlignment w:val="baseline"/>
        <w:rPr>
          <w:color w:val="000000"/>
        </w:rPr>
      </w:pPr>
    </w:p>
    <w:tbl>
      <w:tblPr>
        <w:tblW w:type="dxa" w:w="7395"/>
        <w:tblCellSpacing w:type="dxa" w:w="15"/>
        <w:tblCellMar>
          <w:left w:type="dxa" w:w="0"/>
          <w:right w:type="dxa" w:w="0"/>
        </w:tblCellMar>
        <w:tblLook w:val="04A0" w:noVBand="1" w:noHBand="0" w:lastColumn="0" w:firstColumn="1" w:lastRow="0" w:firstRow="1"/>
      </w:tblPr>
      <w:tblGrid>
        <w:gridCol w:w="1945"/>
        <w:gridCol w:w="1744"/>
        <w:gridCol w:w="358"/>
        <w:gridCol w:w="1744"/>
        <w:gridCol w:w="1604"/>
      </w:tblGrid>
      <w:tr w:rsidTr="004D37FA" w:rsidR="00316167" w:rsidRPr="00CF669A">
        <w:trPr>
          <w:tblCellSpacing w:type="dxa" w:w="15"/>
        </w:trPr>
        <w:tc>
          <w:tcPr>
            <w:tcW w:type="auto" w:w="0"/>
            <w:gridSpan w:val="4"/>
            <w:tcBorders>
              <w:top w:space="0" w:sz="6" w:color="666666" w:val="single"/>
              <w:left w:space="0" w:sz="6" w:color="666666" w:val="single"/>
              <w:bottom w:space="0" w:sz="6" w:color="666666" w:val="single"/>
              <w:right w:space="0" w:sz="6" w:color="666666" w:val="single"/>
            </w:tcBorders>
            <w:vAlign w:val="center"/>
            <w:hideMark/>
          </w:tcPr>
          <w:p w:rsidRDefault="00316167" w:rsidP="004D37FA" w:rsidR="00316167" w:rsidRPr="00CF669A">
            <w:pPr>
              <w:pStyle w:val="t-9-8-bez-uvl"/>
              <w:spacing w:afterAutospacing="false" w:after="225" w:beforeAutospacing="false" w:before="0"/>
              <w:textAlignment w:val="baseline"/>
              <w:rPr>
                <w:color w:val="000000"/>
              </w:rPr>
            </w:pPr>
            <w:r w:rsidRPr="00CF669A">
              <w:rPr>
                <w:color w:val="000000"/>
              </w:rPr>
              <w:lastRenderedPageBreak/>
              <w:t>Vrijednost unovčene stečajne mase u kunama</w:t>
            </w:r>
          </w:p>
        </w:tc>
        <w:tc>
          <w:tcPr>
            <w:tcW w:type="auto" w:w="0"/>
            <w:tcBorders>
              <w:top w:space="0" w:sz="6" w:color="666666" w:val="single"/>
              <w:left w:space="0" w:sz="6" w:color="666666" w:val="single"/>
              <w:bottom w:space="0" w:sz="6" w:color="666666" w:val="single"/>
              <w:right w:space="0" w:sz="6" w:color="666666" w:val="single"/>
            </w:tcBorders>
            <w:vAlign w:val="center"/>
            <w:hideMark/>
          </w:tcPr>
          <w:p w:rsidRDefault="00316167" w:rsidP="004D37FA" w:rsidR="00316167" w:rsidRPr="00CF669A">
            <w:pPr>
              <w:pStyle w:val="t-9-8-bez-uvl"/>
              <w:spacing w:afterAutospacing="false" w:after="225" w:beforeAutospacing="false" w:before="0"/>
              <w:textAlignment w:val="baseline"/>
              <w:rPr>
                <w:color w:val="000000"/>
              </w:rPr>
            </w:pPr>
            <w:r w:rsidRPr="00CF669A">
              <w:rPr>
                <w:color w:val="000000"/>
              </w:rPr>
              <w:t>Nagrada u %</w:t>
            </w:r>
          </w:p>
        </w:tc>
      </w:tr>
      <w:tr w:rsidTr="004D37FA" w:rsidR="00316167" w:rsidRPr="00CF669A">
        <w:trPr>
          <w:tblCellSpacing w:type="dxa" w:w="15"/>
        </w:trPr>
        <w:tc>
          <w:tcPr>
            <w:tcW w:type="auto" w:w="0"/>
            <w:tcBorders>
              <w:top w:space="0" w:sz="6" w:color="666666" w:val="single"/>
              <w:left w:space="0" w:sz="6" w:color="666666" w:val="single"/>
              <w:bottom w:space="0" w:sz="6" w:color="666666" w:val="single"/>
              <w:right w:space="0" w:sz="6" w:color="666666" w:val="single"/>
            </w:tcBorders>
            <w:vAlign w:val="center"/>
            <w:hideMark/>
          </w:tcPr>
          <w:p w:rsidRDefault="00316167" w:rsidP="004D37FA" w:rsidR="00316167" w:rsidRPr="00CF669A">
            <w:pPr>
              <w:rPr>
                <w:color w:val="000000"/>
              </w:rPr>
            </w:pPr>
          </w:p>
        </w:tc>
        <w:tc>
          <w:tcPr>
            <w:tcW w:type="auto" w:w="0"/>
            <w:tcBorders>
              <w:top w:space="0" w:sz="6" w:color="666666" w:val="single"/>
              <w:left w:space="0" w:sz="6" w:color="666666" w:val="single"/>
              <w:bottom w:space="0" w:sz="6" w:color="666666" w:val="single"/>
              <w:right w:space="0" w:sz="6" w:color="666666" w:val="single"/>
            </w:tcBorders>
            <w:vAlign w:val="center"/>
            <w:hideMark/>
          </w:tcPr>
          <w:p w:rsidRDefault="00316167" w:rsidP="004D37FA" w:rsidR="00316167" w:rsidRPr="00CF669A">
            <w:pPr>
              <w:rPr>
                <w:color w:val="000000"/>
              </w:rPr>
            </w:pPr>
          </w:p>
        </w:tc>
        <w:tc>
          <w:tcPr>
            <w:tcW w:type="auto" w:w="0"/>
            <w:tcBorders>
              <w:top w:space="0" w:sz="6" w:color="666666" w:val="single"/>
              <w:left w:space="0" w:sz="6" w:color="666666" w:val="single"/>
              <w:bottom w:space="0" w:sz="6" w:color="666666" w:val="single"/>
              <w:right w:space="0" w:sz="6" w:color="666666" w:val="single"/>
            </w:tcBorders>
            <w:vAlign w:val="center"/>
            <w:hideMark/>
          </w:tcPr>
          <w:p w:rsidRDefault="00316167" w:rsidP="004D37FA" w:rsidR="00316167" w:rsidRPr="00CF669A">
            <w:pPr>
              <w:pStyle w:val="t-9-8-bez-uvl"/>
              <w:spacing w:afterAutospacing="false" w:after="225" w:beforeAutospacing="false" w:before="0"/>
              <w:textAlignment w:val="baseline"/>
              <w:rPr>
                <w:color w:val="000000"/>
              </w:rPr>
            </w:pPr>
            <w:r w:rsidRPr="00CF669A">
              <w:rPr>
                <w:color w:val="000000"/>
              </w:rPr>
              <w:t>do</w:t>
            </w:r>
          </w:p>
        </w:tc>
        <w:tc>
          <w:tcPr>
            <w:tcW w:type="auto" w:w="0"/>
            <w:tcBorders>
              <w:top w:space="0" w:sz="6" w:color="666666" w:val="single"/>
              <w:left w:space="0" w:sz="6" w:color="666666" w:val="single"/>
              <w:bottom w:space="0" w:sz="6" w:color="666666" w:val="single"/>
              <w:right w:space="0" w:sz="6" w:color="666666" w:val="single"/>
            </w:tcBorders>
            <w:vAlign w:val="center"/>
            <w:hideMark/>
          </w:tcPr>
          <w:p w:rsidRDefault="00316167" w:rsidP="004D37FA" w:rsidR="00316167" w:rsidRPr="00CF669A">
            <w:pPr>
              <w:pStyle w:val="t-9-8-bez-uvl"/>
              <w:spacing w:afterAutospacing="false" w:after="225" w:beforeAutospacing="false" w:before="0"/>
              <w:textAlignment w:val="baseline"/>
              <w:rPr>
                <w:color w:val="000000"/>
              </w:rPr>
            </w:pPr>
            <w:r w:rsidRPr="00CF669A">
              <w:rPr>
                <w:color w:val="000000"/>
              </w:rPr>
              <w:t>100.000,00</w:t>
            </w:r>
          </w:p>
        </w:tc>
        <w:tc>
          <w:tcPr>
            <w:tcW w:type="auto" w:w="0"/>
            <w:tcBorders>
              <w:top w:space="0" w:sz="6" w:color="666666" w:val="single"/>
              <w:left w:space="0" w:sz="6" w:color="666666" w:val="single"/>
              <w:bottom w:space="0" w:sz="6" w:color="666666" w:val="single"/>
              <w:right w:space="0" w:sz="6" w:color="666666" w:val="single"/>
            </w:tcBorders>
            <w:vAlign w:val="center"/>
            <w:hideMark/>
          </w:tcPr>
          <w:p w:rsidRDefault="00316167" w:rsidP="004D37FA" w:rsidR="00316167" w:rsidRPr="00CF669A">
            <w:pPr>
              <w:pStyle w:val="t-9-8-bez-uvl"/>
              <w:spacing w:afterAutospacing="false" w:after="225" w:beforeAutospacing="false" w:before="0"/>
              <w:textAlignment w:val="baseline"/>
              <w:rPr>
                <w:color w:val="000000"/>
              </w:rPr>
            </w:pPr>
            <w:r w:rsidRPr="00CF669A">
              <w:rPr>
                <w:color w:val="000000"/>
              </w:rPr>
              <w:t>16</w:t>
            </w:r>
          </w:p>
        </w:tc>
      </w:tr>
      <w:tr w:rsidTr="004D37FA" w:rsidR="00316167" w:rsidRPr="00CF669A">
        <w:trPr>
          <w:tblCellSpacing w:type="dxa" w:w="15"/>
        </w:trPr>
        <w:tc>
          <w:tcPr>
            <w:tcW w:type="auto" w:w="0"/>
            <w:tcBorders>
              <w:top w:space="0" w:sz="6" w:color="666666" w:val="single"/>
              <w:left w:space="0" w:sz="6" w:color="666666" w:val="single"/>
              <w:bottom w:space="0" w:sz="6" w:color="666666" w:val="single"/>
              <w:right w:space="0" w:sz="6" w:color="666666" w:val="single"/>
            </w:tcBorders>
            <w:vAlign w:val="center"/>
            <w:hideMark/>
          </w:tcPr>
          <w:p w:rsidRDefault="00316167" w:rsidP="004D37FA" w:rsidR="00316167" w:rsidRPr="00CF669A">
            <w:pPr>
              <w:pStyle w:val="t-9-8-bez-uvl"/>
              <w:spacing w:afterAutospacing="false" w:after="225" w:beforeAutospacing="false" w:before="0"/>
              <w:textAlignment w:val="baseline"/>
              <w:rPr>
                <w:color w:val="000000"/>
              </w:rPr>
            </w:pPr>
            <w:r w:rsidRPr="00CF669A">
              <w:rPr>
                <w:color w:val="000000"/>
              </w:rPr>
              <w:t>na razliku od</w:t>
            </w:r>
          </w:p>
        </w:tc>
        <w:tc>
          <w:tcPr>
            <w:tcW w:type="auto" w:w="0"/>
            <w:tcBorders>
              <w:top w:space="0" w:sz="6" w:color="666666" w:val="single"/>
              <w:left w:space="0" w:sz="6" w:color="666666" w:val="single"/>
              <w:bottom w:space="0" w:sz="6" w:color="666666" w:val="single"/>
              <w:right w:space="0" w:sz="6" w:color="666666" w:val="single"/>
            </w:tcBorders>
            <w:vAlign w:val="center"/>
            <w:hideMark/>
          </w:tcPr>
          <w:p w:rsidRDefault="00316167" w:rsidP="004D37FA" w:rsidR="00316167" w:rsidRPr="00CF669A">
            <w:pPr>
              <w:pStyle w:val="t-9-8-bez-uvl"/>
              <w:spacing w:afterAutospacing="false" w:after="225" w:beforeAutospacing="false" w:before="0"/>
              <w:textAlignment w:val="baseline"/>
              <w:rPr>
                <w:color w:val="000000"/>
              </w:rPr>
            </w:pPr>
            <w:r w:rsidRPr="00CF669A">
              <w:rPr>
                <w:color w:val="000000"/>
              </w:rPr>
              <w:t>100.000,01</w:t>
            </w:r>
          </w:p>
        </w:tc>
        <w:tc>
          <w:tcPr>
            <w:tcW w:type="auto" w:w="0"/>
            <w:tcBorders>
              <w:top w:space="0" w:sz="6" w:color="666666" w:val="single"/>
              <w:left w:space="0" w:sz="6" w:color="666666" w:val="single"/>
              <w:bottom w:space="0" w:sz="6" w:color="666666" w:val="single"/>
              <w:right w:space="0" w:sz="6" w:color="666666" w:val="single"/>
            </w:tcBorders>
            <w:vAlign w:val="center"/>
            <w:hideMark/>
          </w:tcPr>
          <w:p w:rsidRDefault="00316167" w:rsidP="004D37FA" w:rsidR="00316167" w:rsidRPr="00CF669A">
            <w:pPr>
              <w:pStyle w:val="t-9-8-bez-uvl"/>
              <w:spacing w:afterAutospacing="false" w:after="225" w:beforeAutospacing="false" w:before="0"/>
              <w:textAlignment w:val="baseline"/>
              <w:rPr>
                <w:color w:val="000000"/>
              </w:rPr>
            </w:pPr>
            <w:r w:rsidRPr="00CF669A">
              <w:rPr>
                <w:color w:val="000000"/>
              </w:rPr>
              <w:t>do</w:t>
            </w:r>
          </w:p>
        </w:tc>
        <w:tc>
          <w:tcPr>
            <w:tcW w:type="auto" w:w="0"/>
            <w:tcBorders>
              <w:top w:space="0" w:sz="6" w:color="666666" w:val="single"/>
              <w:left w:space="0" w:sz="6" w:color="666666" w:val="single"/>
              <w:bottom w:space="0" w:sz="6" w:color="666666" w:val="single"/>
              <w:right w:space="0" w:sz="6" w:color="666666" w:val="single"/>
            </w:tcBorders>
            <w:vAlign w:val="center"/>
            <w:hideMark/>
          </w:tcPr>
          <w:p w:rsidRDefault="00316167" w:rsidP="004D37FA" w:rsidR="00316167" w:rsidRPr="00CF669A">
            <w:pPr>
              <w:pStyle w:val="t-9-8-bez-uvl"/>
              <w:spacing w:afterAutospacing="false" w:after="225" w:beforeAutospacing="false" w:before="0"/>
              <w:textAlignment w:val="baseline"/>
              <w:rPr>
                <w:color w:val="000000"/>
              </w:rPr>
            </w:pPr>
            <w:r w:rsidRPr="00CF669A">
              <w:rPr>
                <w:color w:val="000000"/>
              </w:rPr>
              <w:t>300.000,00</w:t>
            </w:r>
          </w:p>
        </w:tc>
        <w:tc>
          <w:tcPr>
            <w:tcW w:type="auto" w:w="0"/>
            <w:tcBorders>
              <w:top w:space="0" w:sz="6" w:color="666666" w:val="single"/>
              <w:left w:space="0" w:sz="6" w:color="666666" w:val="single"/>
              <w:bottom w:space="0" w:sz="6" w:color="666666" w:val="single"/>
              <w:right w:space="0" w:sz="6" w:color="666666" w:val="single"/>
            </w:tcBorders>
            <w:vAlign w:val="center"/>
            <w:hideMark/>
          </w:tcPr>
          <w:p w:rsidRDefault="00316167" w:rsidP="004D37FA" w:rsidR="00316167" w:rsidRPr="00CF669A">
            <w:pPr>
              <w:pStyle w:val="t-9-8-bez-uvl"/>
              <w:spacing w:afterAutospacing="false" w:after="225" w:beforeAutospacing="false" w:before="0"/>
              <w:textAlignment w:val="baseline"/>
              <w:rPr>
                <w:color w:val="000000"/>
              </w:rPr>
            </w:pPr>
            <w:r w:rsidRPr="00CF669A">
              <w:rPr>
                <w:color w:val="000000"/>
              </w:rPr>
              <w:t>12</w:t>
            </w:r>
          </w:p>
        </w:tc>
      </w:tr>
      <w:tr w:rsidTr="004D37FA" w:rsidR="00316167" w:rsidRPr="00CF669A">
        <w:trPr>
          <w:tblCellSpacing w:type="dxa" w:w="15"/>
        </w:trPr>
        <w:tc>
          <w:tcPr>
            <w:tcW w:type="auto" w:w="0"/>
            <w:tcBorders>
              <w:top w:space="0" w:sz="6" w:color="666666" w:val="single"/>
              <w:left w:space="0" w:sz="6" w:color="666666" w:val="single"/>
              <w:bottom w:space="0" w:sz="6" w:color="666666" w:val="single"/>
              <w:right w:space="0" w:sz="6" w:color="666666" w:val="single"/>
            </w:tcBorders>
            <w:vAlign w:val="center"/>
            <w:hideMark/>
          </w:tcPr>
          <w:p w:rsidRDefault="00316167" w:rsidP="004D37FA" w:rsidR="00316167" w:rsidRPr="00CF669A">
            <w:pPr>
              <w:pStyle w:val="t-9-8-bez-uvl"/>
              <w:spacing w:afterAutospacing="false" w:after="225" w:beforeAutospacing="false" w:before="0"/>
              <w:textAlignment w:val="baseline"/>
              <w:rPr>
                <w:color w:val="000000"/>
              </w:rPr>
            </w:pPr>
            <w:r w:rsidRPr="00CF669A">
              <w:rPr>
                <w:color w:val="000000"/>
              </w:rPr>
              <w:t>na razliku od</w:t>
            </w:r>
          </w:p>
        </w:tc>
        <w:tc>
          <w:tcPr>
            <w:tcW w:type="auto" w:w="0"/>
            <w:tcBorders>
              <w:top w:space="0" w:sz="6" w:color="666666" w:val="single"/>
              <w:left w:space="0" w:sz="6" w:color="666666" w:val="single"/>
              <w:bottom w:space="0" w:sz="6" w:color="666666" w:val="single"/>
              <w:right w:space="0" w:sz="6" w:color="666666" w:val="single"/>
            </w:tcBorders>
            <w:vAlign w:val="center"/>
            <w:hideMark/>
          </w:tcPr>
          <w:p w:rsidRDefault="00316167" w:rsidP="004D37FA" w:rsidR="00316167" w:rsidRPr="00CF669A">
            <w:pPr>
              <w:pStyle w:val="t-9-8-bez-uvl"/>
              <w:spacing w:afterAutospacing="false" w:after="225" w:beforeAutospacing="false" w:before="0"/>
              <w:textAlignment w:val="baseline"/>
              <w:rPr>
                <w:color w:val="000000"/>
              </w:rPr>
            </w:pPr>
            <w:r w:rsidRPr="00CF669A">
              <w:rPr>
                <w:color w:val="000000"/>
              </w:rPr>
              <w:t>300.000,01</w:t>
            </w:r>
          </w:p>
        </w:tc>
        <w:tc>
          <w:tcPr>
            <w:tcW w:type="auto" w:w="0"/>
            <w:tcBorders>
              <w:top w:space="0" w:sz="6" w:color="666666" w:val="single"/>
              <w:left w:space="0" w:sz="6" w:color="666666" w:val="single"/>
              <w:bottom w:space="0" w:sz="6" w:color="666666" w:val="single"/>
              <w:right w:space="0" w:sz="6" w:color="666666" w:val="single"/>
            </w:tcBorders>
            <w:vAlign w:val="center"/>
            <w:hideMark/>
          </w:tcPr>
          <w:p w:rsidRDefault="00316167" w:rsidP="004D37FA" w:rsidR="00316167" w:rsidRPr="00CF669A">
            <w:pPr>
              <w:pStyle w:val="t-9-8-bez-uvl"/>
              <w:spacing w:afterAutospacing="false" w:after="225" w:beforeAutospacing="false" w:before="0"/>
              <w:textAlignment w:val="baseline"/>
              <w:rPr>
                <w:color w:val="000000"/>
              </w:rPr>
            </w:pPr>
            <w:r w:rsidRPr="00CF669A">
              <w:rPr>
                <w:color w:val="000000"/>
              </w:rPr>
              <w:t>do</w:t>
            </w:r>
          </w:p>
        </w:tc>
        <w:tc>
          <w:tcPr>
            <w:tcW w:type="auto" w:w="0"/>
            <w:tcBorders>
              <w:top w:space="0" w:sz="6" w:color="666666" w:val="single"/>
              <w:left w:space="0" w:sz="6" w:color="666666" w:val="single"/>
              <w:bottom w:space="0" w:sz="6" w:color="666666" w:val="single"/>
              <w:right w:space="0" w:sz="6" w:color="666666" w:val="single"/>
            </w:tcBorders>
            <w:vAlign w:val="center"/>
            <w:hideMark/>
          </w:tcPr>
          <w:p w:rsidRDefault="00316167" w:rsidP="004D37FA" w:rsidR="00316167" w:rsidRPr="00CF669A">
            <w:pPr>
              <w:pStyle w:val="t-9-8-bez-uvl"/>
              <w:spacing w:afterAutospacing="false" w:after="225" w:beforeAutospacing="false" w:before="0"/>
              <w:textAlignment w:val="baseline"/>
              <w:rPr>
                <w:color w:val="000000"/>
              </w:rPr>
            </w:pPr>
            <w:r w:rsidRPr="00CF669A">
              <w:rPr>
                <w:color w:val="000000"/>
              </w:rPr>
              <w:t>500.000,00</w:t>
            </w:r>
          </w:p>
        </w:tc>
        <w:tc>
          <w:tcPr>
            <w:tcW w:type="auto" w:w="0"/>
            <w:tcBorders>
              <w:top w:space="0" w:sz="6" w:color="666666" w:val="single"/>
              <w:left w:space="0" w:sz="6" w:color="666666" w:val="single"/>
              <w:bottom w:space="0" w:sz="6" w:color="666666" w:val="single"/>
              <w:right w:space="0" w:sz="6" w:color="666666" w:val="single"/>
            </w:tcBorders>
            <w:vAlign w:val="center"/>
            <w:hideMark/>
          </w:tcPr>
          <w:p w:rsidRDefault="00316167" w:rsidP="004D37FA" w:rsidR="00316167" w:rsidRPr="00CF669A">
            <w:pPr>
              <w:pStyle w:val="t-9-8-bez-uvl"/>
              <w:spacing w:afterAutospacing="false" w:after="225" w:beforeAutospacing="false" w:before="0"/>
              <w:textAlignment w:val="baseline"/>
              <w:rPr>
                <w:color w:val="000000"/>
              </w:rPr>
            </w:pPr>
            <w:r w:rsidRPr="00CF669A">
              <w:rPr>
                <w:color w:val="000000"/>
              </w:rPr>
              <w:t>10</w:t>
            </w:r>
          </w:p>
        </w:tc>
      </w:tr>
      <w:tr w:rsidTr="004D37FA" w:rsidR="00316167" w:rsidRPr="00CF669A">
        <w:trPr>
          <w:tblCellSpacing w:type="dxa" w:w="15"/>
        </w:trPr>
        <w:tc>
          <w:tcPr>
            <w:tcW w:type="auto" w:w="0"/>
            <w:tcBorders>
              <w:top w:space="0" w:sz="6" w:color="666666" w:val="single"/>
              <w:left w:space="0" w:sz="6" w:color="666666" w:val="single"/>
              <w:bottom w:space="0" w:sz="6" w:color="666666" w:val="single"/>
              <w:right w:space="0" w:sz="6" w:color="666666" w:val="single"/>
            </w:tcBorders>
            <w:vAlign w:val="center"/>
            <w:hideMark/>
          </w:tcPr>
          <w:p w:rsidRDefault="00316167" w:rsidP="004D37FA" w:rsidR="00316167" w:rsidRPr="00CF669A">
            <w:pPr>
              <w:pStyle w:val="t-9-8-bez-uvl"/>
              <w:spacing w:afterAutospacing="false" w:after="225" w:beforeAutospacing="false" w:before="0"/>
              <w:textAlignment w:val="baseline"/>
              <w:rPr>
                <w:color w:val="000000"/>
              </w:rPr>
            </w:pPr>
            <w:r w:rsidRPr="00CF669A">
              <w:rPr>
                <w:color w:val="000000"/>
              </w:rPr>
              <w:t>na razliku od</w:t>
            </w:r>
          </w:p>
        </w:tc>
        <w:tc>
          <w:tcPr>
            <w:tcW w:type="auto" w:w="0"/>
            <w:tcBorders>
              <w:top w:space="0" w:sz="6" w:color="666666" w:val="single"/>
              <w:left w:space="0" w:sz="6" w:color="666666" w:val="single"/>
              <w:bottom w:space="0" w:sz="6" w:color="666666" w:val="single"/>
              <w:right w:space="0" w:sz="6" w:color="666666" w:val="single"/>
            </w:tcBorders>
            <w:vAlign w:val="center"/>
            <w:hideMark/>
          </w:tcPr>
          <w:p w:rsidRDefault="00316167" w:rsidP="004D37FA" w:rsidR="00316167" w:rsidRPr="00CF669A">
            <w:pPr>
              <w:pStyle w:val="t-9-8-bez-uvl"/>
              <w:spacing w:afterAutospacing="false" w:after="225" w:beforeAutospacing="false" w:before="0"/>
              <w:textAlignment w:val="baseline"/>
              <w:rPr>
                <w:color w:val="000000"/>
              </w:rPr>
            </w:pPr>
            <w:r w:rsidRPr="00CF669A">
              <w:rPr>
                <w:color w:val="000000"/>
              </w:rPr>
              <w:t>500.000,01</w:t>
            </w:r>
          </w:p>
        </w:tc>
        <w:tc>
          <w:tcPr>
            <w:tcW w:type="auto" w:w="0"/>
            <w:tcBorders>
              <w:top w:space="0" w:sz="6" w:color="666666" w:val="single"/>
              <w:left w:space="0" w:sz="6" w:color="666666" w:val="single"/>
              <w:bottom w:space="0" w:sz="6" w:color="666666" w:val="single"/>
              <w:right w:space="0" w:sz="6" w:color="666666" w:val="single"/>
            </w:tcBorders>
            <w:vAlign w:val="center"/>
            <w:hideMark/>
          </w:tcPr>
          <w:p w:rsidRDefault="00316167" w:rsidP="004D37FA" w:rsidR="00316167" w:rsidRPr="00CF669A">
            <w:pPr>
              <w:pStyle w:val="t-9-8-bez-uvl"/>
              <w:spacing w:afterAutospacing="false" w:after="225" w:beforeAutospacing="false" w:before="0"/>
              <w:textAlignment w:val="baseline"/>
              <w:rPr>
                <w:color w:val="000000"/>
              </w:rPr>
            </w:pPr>
            <w:r w:rsidRPr="00CF669A">
              <w:rPr>
                <w:color w:val="000000"/>
              </w:rPr>
              <w:t>do</w:t>
            </w:r>
          </w:p>
        </w:tc>
        <w:tc>
          <w:tcPr>
            <w:tcW w:type="auto" w:w="0"/>
            <w:tcBorders>
              <w:top w:space="0" w:sz="6" w:color="666666" w:val="single"/>
              <w:left w:space="0" w:sz="6" w:color="666666" w:val="single"/>
              <w:bottom w:space="0" w:sz="6" w:color="666666" w:val="single"/>
              <w:right w:space="0" w:sz="6" w:color="666666" w:val="single"/>
            </w:tcBorders>
            <w:vAlign w:val="center"/>
            <w:hideMark/>
          </w:tcPr>
          <w:p w:rsidRDefault="00316167" w:rsidP="004D37FA" w:rsidR="00316167" w:rsidRPr="00CF669A">
            <w:pPr>
              <w:pStyle w:val="t-9-8-bez-uvl"/>
              <w:spacing w:afterAutospacing="false" w:after="225" w:beforeAutospacing="false" w:before="0"/>
              <w:textAlignment w:val="baseline"/>
              <w:rPr>
                <w:color w:val="000000"/>
              </w:rPr>
            </w:pPr>
            <w:r w:rsidRPr="00CF669A">
              <w:rPr>
                <w:color w:val="000000"/>
              </w:rPr>
              <w:t>1.000.000,00</w:t>
            </w:r>
          </w:p>
        </w:tc>
        <w:tc>
          <w:tcPr>
            <w:tcW w:type="auto" w:w="0"/>
            <w:tcBorders>
              <w:top w:space="0" w:sz="6" w:color="666666" w:val="single"/>
              <w:left w:space="0" w:sz="6" w:color="666666" w:val="single"/>
              <w:bottom w:space="0" w:sz="6" w:color="666666" w:val="single"/>
              <w:right w:space="0" w:sz="6" w:color="666666" w:val="single"/>
            </w:tcBorders>
            <w:vAlign w:val="center"/>
            <w:hideMark/>
          </w:tcPr>
          <w:p w:rsidRDefault="00316167" w:rsidP="004D37FA" w:rsidR="00316167" w:rsidRPr="00CF669A">
            <w:pPr>
              <w:pStyle w:val="t-9-8-bez-uvl"/>
              <w:spacing w:afterAutospacing="false" w:after="225" w:beforeAutospacing="false" w:before="0"/>
              <w:textAlignment w:val="baseline"/>
              <w:rPr>
                <w:color w:val="000000"/>
              </w:rPr>
            </w:pPr>
            <w:r w:rsidRPr="00CF669A">
              <w:rPr>
                <w:color w:val="000000"/>
              </w:rPr>
              <w:t>8</w:t>
            </w:r>
          </w:p>
        </w:tc>
      </w:tr>
      <w:tr w:rsidTr="004D37FA" w:rsidR="00316167" w:rsidRPr="00CF669A">
        <w:trPr>
          <w:tblCellSpacing w:type="dxa" w:w="15"/>
        </w:trPr>
        <w:tc>
          <w:tcPr>
            <w:tcW w:type="auto" w:w="0"/>
            <w:tcBorders>
              <w:top w:space="0" w:sz="6" w:color="666666" w:val="single"/>
              <w:left w:space="0" w:sz="6" w:color="666666" w:val="single"/>
              <w:bottom w:space="0" w:sz="6" w:color="666666" w:val="single"/>
              <w:right w:space="0" w:sz="6" w:color="666666" w:val="single"/>
            </w:tcBorders>
            <w:vAlign w:val="center"/>
            <w:hideMark/>
          </w:tcPr>
          <w:p w:rsidRDefault="00316167" w:rsidP="004D37FA" w:rsidR="00316167" w:rsidRPr="00CF669A">
            <w:pPr>
              <w:pStyle w:val="t-9-8-bez-uvl"/>
              <w:spacing w:afterAutospacing="false" w:after="225" w:beforeAutospacing="false" w:before="0"/>
              <w:textAlignment w:val="baseline"/>
              <w:rPr>
                <w:color w:val="000000"/>
              </w:rPr>
            </w:pPr>
            <w:r w:rsidRPr="00CF669A">
              <w:rPr>
                <w:color w:val="000000"/>
              </w:rPr>
              <w:t>na razliku od</w:t>
            </w:r>
          </w:p>
        </w:tc>
        <w:tc>
          <w:tcPr>
            <w:tcW w:type="auto" w:w="0"/>
            <w:tcBorders>
              <w:top w:space="0" w:sz="6" w:color="666666" w:val="single"/>
              <w:left w:space="0" w:sz="6" w:color="666666" w:val="single"/>
              <w:bottom w:space="0" w:sz="6" w:color="666666" w:val="single"/>
              <w:right w:space="0" w:sz="6" w:color="666666" w:val="single"/>
            </w:tcBorders>
            <w:vAlign w:val="center"/>
            <w:hideMark/>
          </w:tcPr>
          <w:p w:rsidRDefault="00316167" w:rsidP="004D37FA" w:rsidR="00316167" w:rsidRPr="00CF669A">
            <w:pPr>
              <w:pStyle w:val="t-9-8-bez-uvl"/>
              <w:spacing w:afterAutospacing="false" w:after="225" w:beforeAutospacing="false" w:before="0"/>
              <w:textAlignment w:val="baseline"/>
              <w:rPr>
                <w:color w:val="000000"/>
              </w:rPr>
            </w:pPr>
            <w:r w:rsidRPr="00CF669A">
              <w:rPr>
                <w:color w:val="000000"/>
              </w:rPr>
              <w:t>1.000.000,01</w:t>
            </w:r>
          </w:p>
        </w:tc>
        <w:tc>
          <w:tcPr>
            <w:tcW w:type="auto" w:w="0"/>
            <w:tcBorders>
              <w:top w:space="0" w:sz="6" w:color="666666" w:val="single"/>
              <w:left w:space="0" w:sz="6" w:color="666666" w:val="single"/>
              <w:bottom w:space="0" w:sz="6" w:color="666666" w:val="single"/>
              <w:right w:space="0" w:sz="6" w:color="666666" w:val="single"/>
            </w:tcBorders>
            <w:vAlign w:val="center"/>
            <w:hideMark/>
          </w:tcPr>
          <w:p w:rsidRDefault="00316167" w:rsidP="004D37FA" w:rsidR="00316167" w:rsidRPr="00CF669A">
            <w:pPr>
              <w:pStyle w:val="t-9-8-bez-uvl"/>
              <w:spacing w:afterAutospacing="false" w:after="225" w:beforeAutospacing="false" w:before="0"/>
              <w:textAlignment w:val="baseline"/>
              <w:rPr>
                <w:color w:val="000000"/>
              </w:rPr>
            </w:pPr>
            <w:r w:rsidRPr="00CF669A">
              <w:rPr>
                <w:color w:val="000000"/>
              </w:rPr>
              <w:t>do</w:t>
            </w:r>
          </w:p>
        </w:tc>
        <w:tc>
          <w:tcPr>
            <w:tcW w:type="auto" w:w="0"/>
            <w:tcBorders>
              <w:top w:space="0" w:sz="6" w:color="666666" w:val="single"/>
              <w:left w:space="0" w:sz="6" w:color="666666" w:val="single"/>
              <w:bottom w:space="0" w:sz="6" w:color="666666" w:val="single"/>
              <w:right w:space="0" w:sz="6" w:color="666666" w:val="single"/>
            </w:tcBorders>
            <w:vAlign w:val="center"/>
            <w:hideMark/>
          </w:tcPr>
          <w:p w:rsidRDefault="00316167" w:rsidP="004D37FA" w:rsidR="00316167" w:rsidRPr="00CF669A">
            <w:pPr>
              <w:pStyle w:val="t-9-8-bez-uvl"/>
              <w:spacing w:afterAutospacing="false" w:after="225" w:beforeAutospacing="false" w:before="0"/>
              <w:textAlignment w:val="baseline"/>
              <w:rPr>
                <w:color w:val="000000"/>
              </w:rPr>
            </w:pPr>
            <w:r w:rsidRPr="00CF669A">
              <w:rPr>
                <w:color w:val="000000"/>
              </w:rPr>
              <w:t>5.000,000,00</w:t>
            </w:r>
          </w:p>
        </w:tc>
        <w:tc>
          <w:tcPr>
            <w:tcW w:type="auto" w:w="0"/>
            <w:tcBorders>
              <w:top w:space="0" w:sz="6" w:color="666666" w:val="single"/>
              <w:left w:space="0" w:sz="6" w:color="666666" w:val="single"/>
              <w:bottom w:space="0" w:sz="6" w:color="666666" w:val="single"/>
              <w:right w:space="0" w:sz="6" w:color="666666" w:val="single"/>
            </w:tcBorders>
            <w:vAlign w:val="center"/>
            <w:hideMark/>
          </w:tcPr>
          <w:p w:rsidRDefault="00316167" w:rsidP="004D37FA" w:rsidR="00316167" w:rsidRPr="00CF669A">
            <w:pPr>
              <w:pStyle w:val="t-9-8-bez-uvl"/>
              <w:spacing w:afterAutospacing="false" w:after="225" w:beforeAutospacing="false" w:before="0"/>
              <w:textAlignment w:val="baseline"/>
              <w:rPr>
                <w:color w:val="000000"/>
              </w:rPr>
            </w:pPr>
            <w:r w:rsidRPr="00CF669A">
              <w:rPr>
                <w:color w:val="000000"/>
              </w:rPr>
              <w:t>7</w:t>
            </w:r>
          </w:p>
        </w:tc>
      </w:tr>
      <w:tr w:rsidTr="004D37FA" w:rsidR="00316167" w:rsidRPr="00CF669A">
        <w:trPr>
          <w:tblCellSpacing w:type="dxa" w:w="15"/>
        </w:trPr>
        <w:tc>
          <w:tcPr>
            <w:tcW w:type="auto" w:w="0"/>
            <w:tcBorders>
              <w:top w:space="0" w:sz="6" w:color="666666" w:val="single"/>
              <w:left w:space="0" w:sz="6" w:color="666666" w:val="single"/>
              <w:bottom w:space="0" w:sz="6" w:color="666666" w:val="single"/>
              <w:right w:space="0" w:sz="6" w:color="666666" w:val="single"/>
            </w:tcBorders>
            <w:vAlign w:val="center"/>
            <w:hideMark/>
          </w:tcPr>
          <w:p w:rsidRDefault="00316167" w:rsidP="004D37FA" w:rsidR="00316167" w:rsidRPr="00CF669A">
            <w:pPr>
              <w:pStyle w:val="t-9-8-bez-uvl"/>
              <w:spacing w:afterAutospacing="false" w:after="225" w:beforeAutospacing="false" w:before="0"/>
              <w:textAlignment w:val="baseline"/>
              <w:rPr>
                <w:color w:val="000000"/>
              </w:rPr>
            </w:pPr>
            <w:r w:rsidRPr="00CF669A">
              <w:rPr>
                <w:color w:val="000000"/>
              </w:rPr>
              <w:t>na razliku od</w:t>
            </w:r>
          </w:p>
        </w:tc>
        <w:tc>
          <w:tcPr>
            <w:tcW w:type="auto" w:w="0"/>
            <w:tcBorders>
              <w:top w:space="0" w:sz="6" w:color="666666" w:val="single"/>
              <w:left w:space="0" w:sz="6" w:color="666666" w:val="single"/>
              <w:bottom w:space="0" w:sz="6" w:color="666666" w:val="single"/>
              <w:right w:space="0" w:sz="6" w:color="666666" w:val="single"/>
            </w:tcBorders>
            <w:vAlign w:val="center"/>
            <w:hideMark/>
          </w:tcPr>
          <w:p w:rsidRDefault="00316167" w:rsidP="004D37FA" w:rsidR="00316167" w:rsidRPr="00CF669A">
            <w:pPr>
              <w:pStyle w:val="t-9-8-bez-uvl"/>
              <w:spacing w:afterAutospacing="false" w:after="225" w:beforeAutospacing="false" w:before="0"/>
              <w:textAlignment w:val="baseline"/>
              <w:rPr>
                <w:color w:val="000000"/>
              </w:rPr>
            </w:pPr>
            <w:r w:rsidRPr="00CF669A">
              <w:rPr>
                <w:color w:val="000000"/>
              </w:rPr>
              <w:t>5.000.000,01</w:t>
            </w:r>
          </w:p>
        </w:tc>
        <w:tc>
          <w:tcPr>
            <w:tcW w:type="auto" w:w="0"/>
            <w:tcBorders>
              <w:top w:space="0" w:sz="6" w:color="666666" w:val="single"/>
              <w:left w:space="0" w:sz="6" w:color="666666" w:val="single"/>
              <w:bottom w:space="0" w:sz="6" w:color="666666" w:val="single"/>
              <w:right w:space="0" w:sz="6" w:color="666666" w:val="single"/>
            </w:tcBorders>
            <w:vAlign w:val="center"/>
            <w:hideMark/>
          </w:tcPr>
          <w:p w:rsidRDefault="00316167" w:rsidP="004D37FA" w:rsidR="00316167" w:rsidRPr="00CF669A">
            <w:pPr>
              <w:pStyle w:val="t-9-8-bez-uvl"/>
              <w:spacing w:afterAutospacing="false" w:after="225" w:beforeAutospacing="false" w:before="0"/>
              <w:textAlignment w:val="baseline"/>
              <w:rPr>
                <w:color w:val="000000"/>
              </w:rPr>
            </w:pPr>
            <w:r w:rsidRPr="00CF669A">
              <w:rPr>
                <w:color w:val="000000"/>
              </w:rPr>
              <w:t>do</w:t>
            </w:r>
          </w:p>
        </w:tc>
        <w:tc>
          <w:tcPr>
            <w:tcW w:type="auto" w:w="0"/>
            <w:tcBorders>
              <w:top w:space="0" w:sz="6" w:color="666666" w:val="single"/>
              <w:left w:space="0" w:sz="6" w:color="666666" w:val="single"/>
              <w:bottom w:space="0" w:sz="6" w:color="666666" w:val="single"/>
              <w:right w:space="0" w:sz="6" w:color="666666" w:val="single"/>
            </w:tcBorders>
            <w:vAlign w:val="center"/>
            <w:hideMark/>
          </w:tcPr>
          <w:p w:rsidRDefault="00316167" w:rsidP="004D37FA" w:rsidR="00316167" w:rsidRPr="00CF669A">
            <w:pPr>
              <w:pStyle w:val="t-9-8-bez-uvl"/>
              <w:spacing w:afterAutospacing="false" w:after="225" w:beforeAutospacing="false" w:before="0"/>
              <w:textAlignment w:val="baseline"/>
              <w:rPr>
                <w:color w:val="000000"/>
              </w:rPr>
            </w:pPr>
            <w:r w:rsidRPr="00CF669A">
              <w:rPr>
                <w:color w:val="000000"/>
              </w:rPr>
              <w:t>10.000.000,00</w:t>
            </w:r>
          </w:p>
        </w:tc>
        <w:tc>
          <w:tcPr>
            <w:tcW w:type="auto" w:w="0"/>
            <w:tcBorders>
              <w:top w:space="0" w:sz="6" w:color="666666" w:val="single"/>
              <w:left w:space="0" w:sz="6" w:color="666666" w:val="single"/>
              <w:bottom w:space="0" w:sz="6" w:color="666666" w:val="single"/>
              <w:right w:space="0" w:sz="6" w:color="666666" w:val="single"/>
            </w:tcBorders>
            <w:vAlign w:val="center"/>
            <w:hideMark/>
          </w:tcPr>
          <w:p w:rsidRDefault="00316167" w:rsidP="004D37FA" w:rsidR="00316167" w:rsidRPr="00CF669A">
            <w:pPr>
              <w:pStyle w:val="t-9-8-bez-uvl"/>
              <w:spacing w:afterAutospacing="false" w:after="225" w:beforeAutospacing="false" w:before="0"/>
              <w:textAlignment w:val="baseline"/>
              <w:rPr>
                <w:color w:val="000000"/>
              </w:rPr>
            </w:pPr>
            <w:r w:rsidRPr="00CF669A">
              <w:rPr>
                <w:color w:val="000000"/>
              </w:rPr>
              <w:t>6</w:t>
            </w:r>
          </w:p>
        </w:tc>
      </w:tr>
      <w:tr w:rsidTr="004D37FA" w:rsidR="00316167" w:rsidRPr="00CF669A">
        <w:trPr>
          <w:tblCellSpacing w:type="dxa" w:w="15"/>
        </w:trPr>
        <w:tc>
          <w:tcPr>
            <w:tcW w:type="auto" w:w="0"/>
            <w:tcBorders>
              <w:top w:space="0" w:sz="6" w:color="666666" w:val="single"/>
              <w:left w:space="0" w:sz="6" w:color="666666" w:val="single"/>
              <w:bottom w:space="0" w:sz="6" w:color="666666" w:val="single"/>
              <w:right w:space="0" w:sz="6" w:color="666666" w:val="single"/>
            </w:tcBorders>
            <w:vAlign w:val="center"/>
            <w:hideMark/>
          </w:tcPr>
          <w:p w:rsidRDefault="00316167" w:rsidP="004D37FA" w:rsidR="00316167" w:rsidRPr="00CF669A">
            <w:pPr>
              <w:pStyle w:val="t-9-8-bez-uvl"/>
              <w:spacing w:afterAutospacing="false" w:after="225" w:beforeAutospacing="false" w:before="0"/>
              <w:textAlignment w:val="baseline"/>
              <w:rPr>
                <w:color w:val="000000"/>
              </w:rPr>
            </w:pPr>
            <w:r w:rsidRPr="00CF669A">
              <w:rPr>
                <w:color w:val="000000"/>
              </w:rPr>
              <w:t>na razliku od</w:t>
            </w:r>
          </w:p>
        </w:tc>
        <w:tc>
          <w:tcPr>
            <w:tcW w:type="auto" w:w="0"/>
            <w:tcBorders>
              <w:top w:space="0" w:sz="6" w:color="666666" w:val="single"/>
              <w:left w:space="0" w:sz="6" w:color="666666" w:val="single"/>
              <w:bottom w:space="0" w:sz="6" w:color="666666" w:val="single"/>
              <w:right w:space="0" w:sz="6" w:color="666666" w:val="single"/>
            </w:tcBorders>
            <w:vAlign w:val="center"/>
            <w:hideMark/>
          </w:tcPr>
          <w:p w:rsidRDefault="00316167" w:rsidP="004D37FA" w:rsidR="00316167" w:rsidRPr="00CF669A">
            <w:pPr>
              <w:pStyle w:val="t-9-8-bez-uvl"/>
              <w:spacing w:afterAutospacing="false" w:after="225" w:beforeAutospacing="false" w:before="0"/>
              <w:textAlignment w:val="baseline"/>
              <w:rPr>
                <w:color w:val="000000"/>
              </w:rPr>
            </w:pPr>
            <w:r w:rsidRPr="00CF669A">
              <w:rPr>
                <w:color w:val="000000"/>
              </w:rPr>
              <w:t>10.000.000,01</w:t>
            </w:r>
          </w:p>
        </w:tc>
        <w:tc>
          <w:tcPr>
            <w:tcW w:type="auto" w:w="0"/>
            <w:tcBorders>
              <w:top w:space="0" w:sz="6" w:color="666666" w:val="single"/>
              <w:left w:space="0" w:sz="6" w:color="666666" w:val="single"/>
              <w:bottom w:space="0" w:sz="6" w:color="666666" w:val="single"/>
              <w:right w:space="0" w:sz="6" w:color="666666" w:val="single"/>
            </w:tcBorders>
            <w:vAlign w:val="center"/>
            <w:hideMark/>
          </w:tcPr>
          <w:p w:rsidRDefault="00316167" w:rsidP="004D37FA" w:rsidR="00316167" w:rsidRPr="00CF669A">
            <w:pPr>
              <w:pStyle w:val="t-9-8-bez-uvl"/>
              <w:spacing w:afterAutospacing="false" w:after="225" w:beforeAutospacing="false" w:before="0"/>
              <w:textAlignment w:val="baseline"/>
              <w:rPr>
                <w:color w:val="000000"/>
              </w:rPr>
            </w:pPr>
            <w:r w:rsidRPr="00CF669A">
              <w:rPr>
                <w:color w:val="000000"/>
              </w:rPr>
              <w:t>do</w:t>
            </w:r>
          </w:p>
        </w:tc>
        <w:tc>
          <w:tcPr>
            <w:tcW w:type="auto" w:w="0"/>
            <w:tcBorders>
              <w:top w:space="0" w:sz="6" w:color="666666" w:val="single"/>
              <w:left w:space="0" w:sz="6" w:color="666666" w:val="single"/>
              <w:bottom w:space="0" w:sz="6" w:color="666666" w:val="single"/>
              <w:right w:space="0" w:sz="6" w:color="666666" w:val="single"/>
            </w:tcBorders>
            <w:vAlign w:val="center"/>
            <w:hideMark/>
          </w:tcPr>
          <w:p w:rsidRDefault="00316167" w:rsidP="004D37FA" w:rsidR="00316167" w:rsidRPr="00CF669A">
            <w:pPr>
              <w:pStyle w:val="t-9-8-bez-uvl"/>
              <w:spacing w:afterAutospacing="false" w:after="225" w:beforeAutospacing="false" w:before="0"/>
              <w:textAlignment w:val="baseline"/>
              <w:rPr>
                <w:color w:val="000000"/>
              </w:rPr>
            </w:pPr>
            <w:r w:rsidRPr="00CF669A">
              <w:rPr>
                <w:color w:val="000000"/>
              </w:rPr>
              <w:t>12.000.000,00</w:t>
            </w:r>
          </w:p>
        </w:tc>
        <w:tc>
          <w:tcPr>
            <w:tcW w:type="auto" w:w="0"/>
            <w:tcBorders>
              <w:top w:space="0" w:sz="6" w:color="666666" w:val="single"/>
              <w:left w:space="0" w:sz="6" w:color="666666" w:val="single"/>
              <w:bottom w:space="0" w:sz="6" w:color="666666" w:val="single"/>
              <w:right w:space="0" w:sz="6" w:color="666666" w:val="single"/>
            </w:tcBorders>
            <w:vAlign w:val="center"/>
            <w:hideMark/>
          </w:tcPr>
          <w:p w:rsidRDefault="00316167" w:rsidP="004D37FA" w:rsidR="00316167" w:rsidRPr="00CF669A">
            <w:pPr>
              <w:pStyle w:val="t-9-8-bez-uvl"/>
              <w:spacing w:afterAutospacing="false" w:after="225" w:beforeAutospacing="false" w:before="0"/>
              <w:textAlignment w:val="baseline"/>
              <w:rPr>
                <w:color w:val="000000"/>
              </w:rPr>
            </w:pPr>
            <w:r w:rsidRPr="00CF669A">
              <w:rPr>
                <w:color w:val="000000"/>
              </w:rPr>
              <w:t>5</w:t>
            </w:r>
          </w:p>
        </w:tc>
      </w:tr>
      <w:tr w:rsidTr="004D37FA" w:rsidR="00316167" w:rsidRPr="00CF669A">
        <w:trPr>
          <w:tblCellSpacing w:type="dxa" w:w="15"/>
        </w:trPr>
        <w:tc>
          <w:tcPr>
            <w:tcW w:type="auto" w:w="0"/>
            <w:tcBorders>
              <w:top w:space="0" w:sz="6" w:color="666666" w:val="single"/>
              <w:left w:space="0" w:sz="6" w:color="666666" w:val="single"/>
              <w:bottom w:space="0" w:sz="6" w:color="666666" w:val="single"/>
              <w:right w:space="0" w:sz="6" w:color="666666" w:val="single"/>
            </w:tcBorders>
            <w:vAlign w:val="center"/>
            <w:hideMark/>
          </w:tcPr>
          <w:p w:rsidRDefault="00316167" w:rsidP="004D37FA" w:rsidR="00316167" w:rsidRPr="00CF669A">
            <w:pPr>
              <w:pStyle w:val="t-9-8-bez-uvl"/>
              <w:spacing w:afterAutospacing="false" w:after="225" w:beforeAutospacing="false" w:before="0"/>
              <w:textAlignment w:val="baseline"/>
              <w:rPr>
                <w:color w:val="000000"/>
              </w:rPr>
            </w:pPr>
            <w:r w:rsidRPr="00CF669A">
              <w:rPr>
                <w:color w:val="000000"/>
              </w:rPr>
              <w:t>na razliku iznad</w:t>
            </w:r>
          </w:p>
        </w:tc>
        <w:tc>
          <w:tcPr>
            <w:tcW w:type="auto" w:w="0"/>
            <w:gridSpan w:val="2"/>
            <w:tcBorders>
              <w:top w:space="0" w:sz="6" w:color="666666" w:val="single"/>
              <w:left w:space="0" w:sz="6" w:color="666666" w:val="single"/>
              <w:bottom w:space="0" w:sz="6" w:color="666666" w:val="single"/>
              <w:right w:space="0" w:sz="6" w:color="666666" w:val="single"/>
            </w:tcBorders>
            <w:vAlign w:val="center"/>
            <w:hideMark/>
          </w:tcPr>
          <w:p w:rsidRDefault="00316167" w:rsidP="004D37FA" w:rsidR="00316167" w:rsidRPr="00CF669A">
            <w:pPr>
              <w:pStyle w:val="t-9-8-bez-uvl"/>
              <w:spacing w:afterAutospacing="false" w:after="225" w:beforeAutospacing="false" w:before="0"/>
              <w:textAlignment w:val="baseline"/>
              <w:rPr>
                <w:color w:val="000000"/>
              </w:rPr>
            </w:pPr>
            <w:r w:rsidRPr="00CF669A">
              <w:rPr>
                <w:color w:val="000000"/>
              </w:rPr>
              <w:t>12.000,000,01</w:t>
            </w:r>
          </w:p>
        </w:tc>
        <w:tc>
          <w:tcPr>
            <w:tcW w:type="auto" w:w="0"/>
            <w:tcBorders>
              <w:top w:space="0" w:sz="6" w:color="666666" w:val="single"/>
              <w:left w:space="0" w:sz="6" w:color="666666" w:val="single"/>
              <w:bottom w:space="0" w:sz="6" w:color="666666" w:val="single"/>
              <w:right w:space="0" w:sz="6" w:color="666666" w:val="single"/>
            </w:tcBorders>
            <w:vAlign w:val="center"/>
            <w:hideMark/>
          </w:tcPr>
          <w:p w:rsidRDefault="00316167" w:rsidP="004D37FA" w:rsidR="00316167" w:rsidRPr="00CF669A">
            <w:pPr>
              <w:rPr>
                <w:color w:val="000000"/>
              </w:rPr>
            </w:pPr>
          </w:p>
        </w:tc>
        <w:tc>
          <w:tcPr>
            <w:tcW w:type="auto" w:w="0"/>
            <w:tcBorders>
              <w:top w:space="0" w:sz="6" w:color="666666" w:val="single"/>
              <w:left w:space="0" w:sz="6" w:color="666666" w:val="single"/>
              <w:bottom w:space="0" w:sz="6" w:color="666666" w:val="single"/>
              <w:right w:space="0" w:sz="6" w:color="666666" w:val="single"/>
            </w:tcBorders>
            <w:vAlign w:val="center"/>
            <w:hideMark/>
          </w:tcPr>
          <w:p w:rsidRDefault="00316167" w:rsidP="004D37FA" w:rsidR="00316167" w:rsidRPr="00CF669A">
            <w:pPr>
              <w:pStyle w:val="t-9-8-bez-uvl"/>
              <w:spacing w:afterAutospacing="false" w:after="225" w:beforeAutospacing="false" w:before="0"/>
              <w:textAlignment w:val="baseline"/>
              <w:rPr>
                <w:color w:val="000000"/>
              </w:rPr>
            </w:pPr>
            <w:r w:rsidRPr="00CF669A">
              <w:rPr>
                <w:color w:val="000000"/>
              </w:rPr>
              <w:t>1</w:t>
            </w:r>
          </w:p>
        </w:tc>
      </w:tr>
    </w:tbl>
    <w:p w:rsidRDefault="00316167" w:rsidP="00316167" w:rsidR="00316167">
      <w:pPr>
        <w:pStyle w:val="clanak-"/>
        <w:spacing w:afterAutospacing="false" w:after="0" w:beforeAutospacing="false" w:before="0"/>
        <w:jc w:val="both"/>
        <w:textAlignment w:val="baseline"/>
      </w:pPr>
    </w:p>
    <w:p w:rsidRDefault="001461BE" w:rsidP="00316167" w:rsidR="00A35E1E">
      <w:pPr>
        <w:pStyle w:val="clanak-"/>
        <w:spacing w:afterAutospacing="false" w:after="0" w:beforeAutospacing="false" w:before="0"/>
        <w:ind w:firstLine="708"/>
        <w:jc w:val="both"/>
        <w:textAlignment w:val="baseline"/>
        <w:rPr>
          <w:rFonts w:hAnsi="Minion Pro" w:ascii="Minion Pro"/>
          <w:color w:val="000000"/>
        </w:rPr>
      </w:pPr>
      <w:r>
        <w:t xml:space="preserve">U konkretnom slučaju sud je utvrdio da je </w:t>
      </w:r>
      <w:r w:rsidR="00A35E1E">
        <w:t xml:space="preserve">vrijednost unovčene stečajne mase </w:t>
      </w:r>
      <w:r w:rsidR="00740A7F">
        <w:t>i to u odnosu na brodice i višenamjensku građevinu - halu metalnu konstrukcija iznos od  397.968,75 kn</w:t>
      </w:r>
      <w:r w:rsidR="000618F6">
        <w:t xml:space="preserve">, slijedom čega </w:t>
      </w:r>
      <w:r w:rsidR="00A35E1E">
        <w:t xml:space="preserve">proizlazi da </w:t>
      </w:r>
      <w:r w:rsidR="00316167">
        <w:t xml:space="preserve">su se </w:t>
      </w:r>
      <w:r w:rsidR="00A35E1E">
        <w:t xml:space="preserve">sukladno odredbi čl. </w:t>
      </w:r>
      <w:r w:rsidR="00316167">
        <w:t xml:space="preserve">6. i </w:t>
      </w:r>
      <w:r w:rsidR="00A35E1E">
        <w:rPr>
          <w:rFonts w:hAnsi="Minion Pro" w:ascii="Minion Pro"/>
          <w:color w:val="000000"/>
        </w:rPr>
        <w:t xml:space="preserve">7. st. 1. Uredbe, </w:t>
      </w:r>
      <w:r w:rsidR="00316167">
        <w:rPr>
          <w:rFonts w:hAnsi="Minion Pro" w:ascii="Minion Pro"/>
          <w:color w:val="000000"/>
        </w:rPr>
        <w:t xml:space="preserve">stekli uvjeti da se stečajnom upravitelju </w:t>
      </w:r>
      <w:r w:rsidR="00740A7F">
        <w:rPr>
          <w:rFonts w:hAnsi="Minion Pro" w:ascii="Minion Pro"/>
          <w:color w:val="000000"/>
        </w:rPr>
        <w:t xml:space="preserve">Blažu Sviću, sukladno prijedlogu istog </w:t>
      </w:r>
      <w:r w:rsidR="00A35E1E">
        <w:rPr>
          <w:rFonts w:hAnsi="Minion Pro" w:ascii="Minion Pro"/>
          <w:color w:val="000000"/>
        </w:rPr>
        <w:t>u konkretnom st</w:t>
      </w:r>
      <w:r w:rsidR="00234A1B">
        <w:rPr>
          <w:rFonts w:hAnsi="Minion Pro" w:ascii="Minion Pro"/>
          <w:color w:val="000000"/>
        </w:rPr>
        <w:t>ečajnom postupku</w:t>
      </w:r>
      <w:r w:rsidR="00A35E1E">
        <w:rPr>
          <w:rFonts w:hAnsi="Minion Pro" w:ascii="Minion Pro"/>
          <w:color w:val="000000"/>
        </w:rPr>
        <w:t xml:space="preserve"> </w:t>
      </w:r>
      <w:r w:rsidR="00316167">
        <w:rPr>
          <w:rFonts w:hAnsi="Minion Pro" w:ascii="Minion Pro"/>
          <w:color w:val="000000"/>
        </w:rPr>
        <w:t xml:space="preserve">odredi nagrada </w:t>
      </w:r>
      <w:r w:rsidR="00A35E1E">
        <w:rPr>
          <w:rFonts w:hAnsi="Minion Pro" w:ascii="Minion Pro"/>
          <w:color w:val="000000"/>
        </w:rPr>
        <w:t>u iznosu od</w:t>
      </w:r>
      <w:r w:rsidR="00740A7F">
        <w:rPr>
          <w:rFonts w:hAnsi="Minion Pro" w:ascii="Minion Pro"/>
          <w:color w:val="000000"/>
        </w:rPr>
        <w:t xml:space="preserve"> 49.796,87kn bruto</w:t>
      </w:r>
      <w:r w:rsidR="00A35E1E">
        <w:rPr>
          <w:rFonts w:hAnsi="Minion Pro" w:ascii="Minion Pro"/>
          <w:color w:val="000000"/>
        </w:rPr>
        <w:t>.</w:t>
      </w:r>
    </w:p>
    <w:p w:rsidRDefault="00740A7F" w:rsidP="00316167" w:rsidR="00740A7F">
      <w:pPr>
        <w:pStyle w:val="clanak-"/>
        <w:spacing w:afterAutospacing="false" w:after="0" w:beforeAutospacing="false" w:before="0"/>
        <w:ind w:firstLine="708"/>
        <w:jc w:val="both"/>
        <w:textAlignment w:val="baseline"/>
        <w:rPr>
          <w:rFonts w:hAnsi="Minion Pro" w:ascii="Minion Pro"/>
          <w:color w:val="000000"/>
        </w:rPr>
      </w:pPr>
      <w:r>
        <w:rPr>
          <w:rFonts w:hAnsi="Minion Pro" w:ascii="Minion Pro"/>
          <w:color w:val="000000"/>
        </w:rPr>
        <w:t>Za navesti je</w:t>
      </w:r>
      <w:r w:rsidR="000618F6">
        <w:rPr>
          <w:rFonts w:hAnsi="Minion Pro" w:ascii="Minion Pro"/>
          <w:color w:val="000000"/>
        </w:rPr>
        <w:t>,</w:t>
      </w:r>
      <w:r>
        <w:rPr>
          <w:rFonts w:hAnsi="Minion Pro" w:ascii="Minion Pro"/>
          <w:color w:val="000000"/>
        </w:rPr>
        <w:t xml:space="preserve"> da je sud stečajnom upravitelju nije priznao iznos od 6.000,00 kn, kao iznos s osnova unovčene imovine jer se radi o iznos</w:t>
      </w:r>
      <w:r w:rsidR="00772229">
        <w:rPr>
          <w:rFonts w:hAnsi="Minion Pro" w:ascii="Minion Pro"/>
          <w:color w:val="000000"/>
        </w:rPr>
        <w:t>ima i</w:t>
      </w:r>
      <w:r>
        <w:rPr>
          <w:rFonts w:hAnsi="Minion Pro" w:ascii="Minion Pro"/>
          <w:color w:val="000000"/>
        </w:rPr>
        <w:t xml:space="preserve"> to 5.000,00 kn </w:t>
      </w:r>
      <w:r w:rsidR="00772229">
        <w:rPr>
          <w:rFonts w:hAnsi="Minion Pro" w:ascii="Minion Pro"/>
          <w:color w:val="000000"/>
        </w:rPr>
        <w:t xml:space="preserve">koji je </w:t>
      </w:r>
      <w:r>
        <w:rPr>
          <w:rFonts w:hAnsi="Minion Pro" w:ascii="Minion Pro"/>
          <w:color w:val="000000"/>
        </w:rPr>
        <w:t>Financijska age</w:t>
      </w:r>
      <w:r w:rsidR="00772229">
        <w:rPr>
          <w:rFonts w:hAnsi="Minion Pro" w:ascii="Minion Pro"/>
          <w:color w:val="000000"/>
        </w:rPr>
        <w:t xml:space="preserve">ncija zaplijenila na ime predujma za namirenje troškova stečajnog postupka sukladno odredbi čl. 112. st. 5. Stečajnog zakona, dok je iznos od 1.000,00 kn uplatio zastupnik dužnik po zakonu do otvaranja stečajnog postupka također na ime predujma za namirenje stečajnog postupka sukladno odredbi čl. 110. st. 2. u svezi čl. 114. st. 3. Stečajnog zakona, zbog čega onda navedeni iznos uplaćen na ime predujma za namirenje stečajnog postupka ne može nikako predstavljati iznos s osnova </w:t>
      </w:r>
      <w:r w:rsidR="000618F6">
        <w:rPr>
          <w:rFonts w:hAnsi="Minion Pro" w:ascii="Minion Pro"/>
          <w:color w:val="000000"/>
        </w:rPr>
        <w:t xml:space="preserve">vrijednosti </w:t>
      </w:r>
      <w:r w:rsidR="00772229">
        <w:rPr>
          <w:rFonts w:hAnsi="Minion Pro" w:ascii="Minion Pro"/>
          <w:color w:val="000000"/>
        </w:rPr>
        <w:t>unovčen</w:t>
      </w:r>
      <w:r w:rsidR="000618F6">
        <w:rPr>
          <w:rFonts w:hAnsi="Minion Pro" w:ascii="Minion Pro"/>
          <w:color w:val="000000"/>
        </w:rPr>
        <w:t>e</w:t>
      </w:r>
      <w:r w:rsidR="00772229">
        <w:rPr>
          <w:rFonts w:hAnsi="Minion Pro" w:ascii="Minion Pro"/>
          <w:color w:val="000000"/>
        </w:rPr>
        <w:t xml:space="preserve"> imovine stečajnog dužnika. </w:t>
      </w:r>
    </w:p>
    <w:p w:rsidRDefault="005D37C1" w:rsidP="004F3A7E" w:rsidR="005D37C1">
      <w:pPr>
        <w:pStyle w:val="clanak-"/>
        <w:spacing w:afterAutospacing="false" w:after="0" w:beforeAutospacing="false" w:before="0"/>
        <w:ind w:firstLine="708"/>
        <w:jc w:val="both"/>
        <w:textAlignment w:val="baseline"/>
        <w:rPr>
          <w:rFonts w:hAnsi="Minion Pro" w:ascii="Minion Pro"/>
          <w:color w:val="000000"/>
        </w:rPr>
      </w:pPr>
      <w:r>
        <w:rPr>
          <w:rFonts w:hAnsi="Minion Pro" w:ascii="Minion Pro"/>
          <w:color w:val="000000"/>
        </w:rPr>
        <w:t xml:space="preserve">Uzimajući u obziri gore navedeno odlučeno je kao u izreci ovog rješenja. </w:t>
      </w:r>
    </w:p>
    <w:p w:rsidRDefault="00D72603" w:rsidP="00BB45C2" w:rsidR="00D72603" w:rsidRPr="003F3DF6">
      <w:pPr>
        <w:jc w:val="both"/>
      </w:pPr>
    </w:p>
    <w:p w:rsidRDefault="00D72603" w:rsidP="004160EA" w:rsidR="00D72603" w:rsidRPr="003F3DF6">
      <w:pPr>
        <w:jc w:val="center"/>
      </w:pPr>
      <w:r w:rsidRPr="003F3DF6">
        <w:t>U</w:t>
      </w:r>
      <w:r w:rsidR="00F12814">
        <w:t xml:space="preserve"> Zadru </w:t>
      </w:r>
      <w:r w:rsidR="00772229">
        <w:t xml:space="preserve">9. listopada </w:t>
      </w:r>
      <w:r w:rsidR="00FD65E5">
        <w:t>2</w:t>
      </w:r>
      <w:r w:rsidR="00234A1B">
        <w:t>018.</w:t>
      </w:r>
    </w:p>
    <w:p w:rsidRDefault="00EC6CB8" w:rsidP="00EC6CB8" w:rsidR="00C7283E">
      <w:pPr>
        <w:jc w:val="right"/>
      </w:pPr>
      <w:r>
        <w:tab/>
      </w:r>
      <w:r>
        <w:tab/>
      </w:r>
      <w:r>
        <w:tab/>
      </w:r>
      <w:r>
        <w:tab/>
      </w:r>
      <w:r>
        <w:tab/>
        <w:t xml:space="preserve">  </w:t>
      </w:r>
    </w:p>
    <w:p w:rsidRDefault="00A21C57" w:rsidP="00A21C57" w:rsidR="00A21C57" w:rsidRPr="00AD2980">
      <w:r w:rsidRPr="00AD2980">
        <w:t>Za točnost otpravka-ovlaštena službenica</w:t>
      </w:r>
      <w:r w:rsidRPr="00AD2980">
        <w:tab/>
      </w:r>
      <w:r w:rsidRPr="00AD2980">
        <w:tab/>
      </w:r>
      <w:r w:rsidRPr="00AD2980">
        <w:tab/>
      </w:r>
      <w:r w:rsidRPr="00AD2980">
        <w:tab/>
      </w:r>
      <w:r w:rsidRPr="00AD2980">
        <w:tab/>
        <w:t xml:space="preserve"> Sutkinja</w:t>
      </w:r>
    </w:p>
    <w:p w:rsidRDefault="00836EAB" w:rsidP="00A21C57" w:rsidR="00A21C57">
      <w:r>
        <w:t>Kristina Njegovan</w:t>
      </w:r>
      <w:r w:rsidR="00A21C57" w:rsidRPr="00AD2980">
        <w:tab/>
      </w:r>
      <w:r w:rsidR="00A21C57" w:rsidRPr="00AD2980">
        <w:tab/>
      </w:r>
      <w:r w:rsidR="00A21C57" w:rsidRPr="00AD2980">
        <w:tab/>
      </w:r>
      <w:r w:rsidR="00A21C57" w:rsidRPr="00AD2980">
        <w:tab/>
      </w:r>
      <w:r w:rsidR="00A21C57" w:rsidRPr="00AD2980">
        <w:tab/>
      </w:r>
      <w:r w:rsidR="00A21C57" w:rsidRPr="00AD2980">
        <w:tab/>
      </w:r>
      <w:r w:rsidR="00A21C57">
        <w:t xml:space="preserve">   </w:t>
      </w:r>
      <w:r>
        <w:tab/>
      </w:r>
      <w:r>
        <w:tab/>
      </w:r>
      <w:r w:rsidR="00A21C57" w:rsidRPr="00AD2980">
        <w:t>Ana Markač, v.r.</w:t>
      </w:r>
    </w:p>
    <w:p w:rsidRDefault="00531E04" w:rsidP="00A21C57" w:rsidR="00531E04" w:rsidRPr="003F3DF6">
      <w:pPr>
        <w:jc w:val="center"/>
      </w:pPr>
    </w:p>
    <w:p w:rsidRDefault="002C12A1" w:rsidP="00924FFF" w:rsidR="002C12A1"/>
    <w:p w:rsidRDefault="00924FFF" w:rsidP="00924FFF" w:rsidR="00924FFF" w:rsidRPr="003F3DF6">
      <w:r w:rsidRPr="003F3DF6">
        <w:t>POUKA O PRAVNOM LIJEKU:</w:t>
      </w:r>
    </w:p>
    <w:p w:rsidRDefault="00081256" w:rsidP="00BB2461" w:rsidR="00BB2461">
      <w:pPr>
        <w:tabs>
          <w:tab w:pos="0" w:val="left"/>
        </w:tabs>
        <w:jc w:val="both"/>
      </w:pPr>
      <w:r>
        <w:t xml:space="preserve">Protiv ovog rješenja stečajni </w:t>
      </w:r>
      <w:r w:rsidR="00F12814">
        <w:t>upravitelj</w:t>
      </w:r>
      <w:r>
        <w:t xml:space="preserve"> i stečajni </w:t>
      </w:r>
      <w:r w:rsidR="00F12814">
        <w:t>vjerovnici</w:t>
      </w:r>
      <w:r>
        <w:t xml:space="preserve"> imaju pravo žalbe </w:t>
      </w:r>
      <w:r w:rsidR="00BB2461">
        <w:t xml:space="preserve">(čl. 94. st. 5. SZ-a). Žalba se može izjaviti u roku od 8 (osam) dana od obavljene dostave istog, a dostava se smatra obavljenom istekom osmog dana od dana objave rješenja na mrežnoj stranici e-Oglasna ploča sudova (čl. 12. st. 1. i čl. 19. st. 1. i 2. SZ-a).  Žalba se podnosi ovom sudu u 3 (tri) istovjetna primjerka, a o istoj odlučuje Visoki trgovački sud Republike Hrvatske. </w:t>
      </w:r>
    </w:p>
    <w:p w:rsidRDefault="00C7283E" w:rsidP="00A163E1" w:rsidR="00C7283E"/>
    <w:p w:rsidRDefault="00A163E1" w:rsidP="00A163E1" w:rsidR="00A163E1" w:rsidRPr="003F3DF6">
      <w:r w:rsidRPr="003F3DF6">
        <w:t xml:space="preserve">Dostaviti: </w:t>
      </w:r>
    </w:p>
    <w:p w:rsidRDefault="00613DC4" w:rsidP="007D3056" w:rsidR="00A163E1" w:rsidRPr="003F3DF6">
      <w:pPr>
        <w:numPr>
          <w:ilvl w:val="0"/>
          <w:numId w:val="1"/>
        </w:numPr>
      </w:pPr>
      <w:r>
        <w:t>s</w:t>
      </w:r>
      <w:r w:rsidR="00A163E1" w:rsidRPr="003F3DF6">
        <w:t>tečajno</w:t>
      </w:r>
      <w:r w:rsidR="00907F57">
        <w:t xml:space="preserve">m upravitelju </w:t>
      </w:r>
      <w:r w:rsidR="00772229">
        <w:t>Blaž Savić iz Zadra,</w:t>
      </w:r>
    </w:p>
    <w:p w:rsidRDefault="00613DC4" w:rsidP="00081256" w:rsidR="00A163E1" w:rsidRPr="003F3DF6">
      <w:pPr>
        <w:numPr>
          <w:ilvl w:val="0"/>
          <w:numId w:val="1"/>
        </w:numPr>
      </w:pPr>
      <w:r>
        <w:t>e</w:t>
      </w:r>
      <w:r w:rsidR="00BB2461">
        <w:t>-O</w:t>
      </w:r>
      <w:r w:rsidR="00A163E1" w:rsidRPr="003F3DF6">
        <w:t>glasna ploča</w:t>
      </w:r>
      <w:r w:rsidR="00BB2461">
        <w:t xml:space="preserve"> sudova</w:t>
      </w:r>
      <w:r w:rsidR="00772229">
        <w:t>,</w:t>
      </w:r>
    </w:p>
    <w:p w:rsidRDefault="00BB2461" w:rsidP="00C31487" w:rsidR="00BE6C59">
      <w:pPr>
        <w:numPr>
          <w:ilvl w:val="0"/>
          <w:numId w:val="1"/>
        </w:numPr>
      </w:pPr>
      <w:r>
        <w:t>u</w:t>
      </w:r>
      <w:r w:rsidR="00A163E1" w:rsidRPr="003F3DF6">
        <w:t xml:space="preserve"> spi</w:t>
      </w:r>
      <w:r w:rsidR="00AE41C6" w:rsidRPr="003F3DF6">
        <w:t>s</w:t>
      </w:r>
    </w:p>
    <w:p w:rsidRDefault="002C12A1" w:rsidP="00C31487" w:rsidR="002C12A1" w:rsidRPr="003F3DF6">
      <w:pPr>
        <w:numPr>
          <w:ilvl w:val="0"/>
          <w:numId w:val="1"/>
        </w:numPr>
      </w:pPr>
      <w:r>
        <w:t>nakon pravomoćnosti rješenja spis vratiti u Ref.2.</w:t>
      </w:r>
    </w:p>
    <w:sectPr w:rsidSect="00772229" w:rsidR="002C12A1" w:rsidRPr="003F3DF6">
      <w:headerReference w:type="default" r:id="rId10"/>
      <w:footerReference w:type="default" r:id="rId11"/>
      <w:pgSz w:h="16838" w:w="11906"/>
      <w:pgMar w:gutter="0" w:footer="708" w:header="708" w:left="1417" w:bottom="1135" w:right="1417" w:top="1103"/>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6139B" w:rsidP="00A6139B" w:rsidR="00A6139B">
      <w:r>
        <w:separator/>
      </w:r>
    </w:p>
  </w:endnote>
  <w:endnote w:id="0" w:type="continuationSeparator">
    <w:p w:rsidRDefault="00A6139B" w:rsidP="00A6139B" w:rsidR="00A6139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Minion Pro">
    <w:altName w:val="Times New Roman"/>
    <w:panose1 w:val="00000000000000000000"/>
    <w:charset w:val="00"/>
    <w:family w:val="roman"/>
    <w:notTrueType/>
    <w:pitch w:val="default"/>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69695420"/>
      <w:docPartObj>
        <w:docPartGallery w:val="Page Numbers (Bottom of Page)"/>
        <w:docPartUnique/>
      </w:docPartObj>
    </w:sdtPr>
    <w:sdtEndPr/>
    <w:sdtContent>
      <w:p w:rsidRDefault="00F840F3" w:rsidR="00F840F3">
        <w:pPr>
          <w:pStyle w:val="Podnoje"/>
          <w:jc w:val="center"/>
        </w:pPr>
        <w:r>
          <w:fldChar w:fldCharType="begin"/>
        </w:r>
        <w:r>
          <w:instrText>PAGE   \* MERGEFORMAT</w:instrText>
        </w:r>
        <w:r>
          <w:fldChar w:fldCharType="separate"/>
        </w:r>
        <w:r w:rsidR="00836EAB">
          <w:rPr>
            <w:noProof/>
          </w:rPr>
          <w:t>1</w:t>
        </w:r>
        <w:r>
          <w:fldChar w:fldCharType="end"/>
        </w:r>
      </w:p>
    </w:sdtContent>
  </w:sdt>
  <w:p w:rsidRDefault="00F840F3" w:rsidR="00F840F3">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6139B" w:rsidP="00A6139B" w:rsidR="00A6139B">
      <w:r>
        <w:separator/>
      </w:r>
    </w:p>
  </w:footnote>
  <w:footnote w:id="0" w:type="continuationSeparator">
    <w:p w:rsidRDefault="00A6139B" w:rsidP="00A6139B" w:rsidR="00A6139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E41C6" w:rsidP="00DA72D5" w:rsidR="00A6139B" w:rsidRPr="00AE41C6">
    <w:pPr>
      <w:pStyle w:val="Zaglavlje"/>
      <w:jc w:val="right"/>
      <w:rPr>
        <w:sz w:val="22"/>
        <w:szCs w:val="22"/>
      </w:rPr>
    </w:pPr>
    <w:r w:rsidRPr="00AE41C6">
      <w:rPr>
        <w:sz w:val="22"/>
        <w:szCs w:val="22"/>
      </w:rPr>
      <w:t>P</w:t>
    </w:r>
    <w:r w:rsidR="00041EFC">
      <w:rPr>
        <w:sz w:val="22"/>
        <w:szCs w:val="22"/>
      </w:rPr>
      <w:t>oslovni broj</w:t>
    </w:r>
    <w:r w:rsidR="000C5F46">
      <w:rPr>
        <w:sz w:val="22"/>
        <w:szCs w:val="22"/>
      </w:rPr>
      <w:t>:</w:t>
    </w:r>
    <w:r w:rsidR="00041EFC">
      <w:rPr>
        <w:sz w:val="22"/>
        <w:szCs w:val="22"/>
      </w:rPr>
      <w:t xml:space="preserve"> 2 St-</w:t>
    </w:r>
    <w:r w:rsidR="00772229">
      <w:rPr>
        <w:sz w:val="22"/>
        <w:szCs w:val="22"/>
      </w:rPr>
      <w:t>1091/2016-77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6C0A0B"/>
    <w:multiLevelType w:val="hybridMultilevel"/>
    <w:tmpl w:val="25EC3E60"/>
    <w:lvl w:tplc="78643680" w:ilvl="0">
      <w:start w:val="1"/>
      <w:numFmt w:val="upperRoman"/>
      <w:lvlText w:val="%1."/>
      <w:lvlJc w:val="left"/>
      <w:pPr>
        <w:tabs>
          <w:tab w:pos="1428" w:val="num"/>
        </w:tabs>
        <w:ind w:hanging="720" w:left="1428"/>
      </w:pPr>
      <w:rPr>
        <w:b/>
      </w:rPr>
    </w:lvl>
    <w:lvl w:tplc="041A0019" w:ilvl="1">
      <w:start w:val="1"/>
      <w:numFmt w:val="lowerLetter"/>
      <w:lvlText w:val="%2."/>
      <w:lvlJc w:val="left"/>
      <w:pPr>
        <w:tabs>
          <w:tab w:pos="1788" w:val="num"/>
        </w:tabs>
        <w:ind w:hanging="360" w:left="1788"/>
      </w:pPr>
    </w:lvl>
    <w:lvl w:tplc="041A001B" w:ilvl="2">
      <w:start w:val="1"/>
      <w:numFmt w:val="lowerRoman"/>
      <w:lvlText w:val="%3."/>
      <w:lvlJc w:val="right"/>
      <w:pPr>
        <w:tabs>
          <w:tab w:pos="2508" w:val="num"/>
        </w:tabs>
        <w:ind w:hanging="180" w:left="2508"/>
      </w:pPr>
    </w:lvl>
    <w:lvl w:tplc="041A000F" w:ilvl="3">
      <w:start w:val="1"/>
      <w:numFmt w:val="decimal"/>
      <w:lvlText w:val="%4."/>
      <w:lvlJc w:val="left"/>
      <w:pPr>
        <w:tabs>
          <w:tab w:pos="3228" w:val="num"/>
        </w:tabs>
        <w:ind w:hanging="360" w:left="3228"/>
      </w:pPr>
    </w:lvl>
    <w:lvl w:tplc="041A0019" w:ilvl="4">
      <w:start w:val="1"/>
      <w:numFmt w:val="lowerLetter"/>
      <w:lvlText w:val="%5."/>
      <w:lvlJc w:val="left"/>
      <w:pPr>
        <w:tabs>
          <w:tab w:pos="3948" w:val="num"/>
        </w:tabs>
        <w:ind w:hanging="360" w:left="3948"/>
      </w:pPr>
    </w:lvl>
    <w:lvl w:tplc="041A001B" w:ilvl="5">
      <w:start w:val="1"/>
      <w:numFmt w:val="lowerRoman"/>
      <w:lvlText w:val="%6."/>
      <w:lvlJc w:val="right"/>
      <w:pPr>
        <w:tabs>
          <w:tab w:pos="4668" w:val="num"/>
        </w:tabs>
        <w:ind w:hanging="180" w:left="4668"/>
      </w:pPr>
    </w:lvl>
    <w:lvl w:tplc="041A000F" w:ilvl="6">
      <w:start w:val="1"/>
      <w:numFmt w:val="decimal"/>
      <w:lvlText w:val="%7."/>
      <w:lvlJc w:val="left"/>
      <w:pPr>
        <w:tabs>
          <w:tab w:pos="5388" w:val="num"/>
        </w:tabs>
        <w:ind w:hanging="360" w:left="5388"/>
      </w:pPr>
    </w:lvl>
    <w:lvl w:tplc="041A0019" w:ilvl="7">
      <w:start w:val="1"/>
      <w:numFmt w:val="lowerLetter"/>
      <w:lvlText w:val="%8."/>
      <w:lvlJc w:val="left"/>
      <w:pPr>
        <w:tabs>
          <w:tab w:pos="6108" w:val="num"/>
        </w:tabs>
        <w:ind w:hanging="360" w:left="6108"/>
      </w:pPr>
    </w:lvl>
    <w:lvl w:tplc="041A001B" w:ilvl="8">
      <w:start w:val="1"/>
      <w:numFmt w:val="lowerRoman"/>
      <w:lvlText w:val="%9."/>
      <w:lvlJc w:val="right"/>
      <w:pPr>
        <w:tabs>
          <w:tab w:pos="6828" w:val="num"/>
        </w:tabs>
        <w:ind w:hanging="180" w:left="6828"/>
      </w:pPr>
    </w:lvl>
  </w:abstractNum>
  <w:abstractNum w:abstractNumId="1">
    <w:nsid w:val="0E7D1163"/>
    <w:multiLevelType w:val="hybridMultilevel"/>
    <w:tmpl w:val="65560B8C"/>
    <w:lvl w:tplc="1AD01C40" w:ilvl="0">
      <w:start w:val="1"/>
      <w:numFmt w:val="decimal"/>
      <w:lvlText w:val="%1."/>
      <w:lvlJc w:val="left"/>
      <w:pPr>
        <w:tabs>
          <w:tab w:pos="1065" w:val="num"/>
        </w:tabs>
        <w:ind w:hanging="360" w:left="1065"/>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
    <w:nsid w:val="13281DEF"/>
    <w:multiLevelType w:val="hybridMultilevel"/>
    <w:tmpl w:val="8EAE1248"/>
    <w:lvl w:tplc="A718C4E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75186CDC"/>
    <w:multiLevelType w:val="hybridMultilevel"/>
    <w:tmpl w:val="93D6F218"/>
    <w:lvl w:tplc="AD8416B6" w:ilvl="0">
      <w:start w:val="2"/>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3"/>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hdrShapeDefaults>
    <o:shapedefaults v:ext="edit" spidmax="2457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24FFF"/>
    <w:rsid w:val="00022209"/>
    <w:rsid w:val="00041EFC"/>
    <w:rsid w:val="00045D82"/>
    <w:rsid w:val="000618F6"/>
    <w:rsid w:val="00081256"/>
    <w:rsid w:val="000C5F46"/>
    <w:rsid w:val="000C7E57"/>
    <w:rsid w:val="00100EF0"/>
    <w:rsid w:val="001461BE"/>
    <w:rsid w:val="00202FCE"/>
    <w:rsid w:val="00234A1B"/>
    <w:rsid w:val="002C12A1"/>
    <w:rsid w:val="002D32A9"/>
    <w:rsid w:val="003030D8"/>
    <w:rsid w:val="00316167"/>
    <w:rsid w:val="003646FD"/>
    <w:rsid w:val="003827E7"/>
    <w:rsid w:val="003B391E"/>
    <w:rsid w:val="003B6472"/>
    <w:rsid w:val="003F3069"/>
    <w:rsid w:val="003F3DF6"/>
    <w:rsid w:val="004160EA"/>
    <w:rsid w:val="00443952"/>
    <w:rsid w:val="004E3574"/>
    <w:rsid w:val="004F3A7E"/>
    <w:rsid w:val="005304D0"/>
    <w:rsid w:val="00531E04"/>
    <w:rsid w:val="005432F4"/>
    <w:rsid w:val="00572AA3"/>
    <w:rsid w:val="005A08D9"/>
    <w:rsid w:val="005A1684"/>
    <w:rsid w:val="005D37C1"/>
    <w:rsid w:val="005F4FE6"/>
    <w:rsid w:val="00613DC4"/>
    <w:rsid w:val="00622DF8"/>
    <w:rsid w:val="00635304"/>
    <w:rsid w:val="00672577"/>
    <w:rsid w:val="00694FD9"/>
    <w:rsid w:val="006D5987"/>
    <w:rsid w:val="006F6E59"/>
    <w:rsid w:val="00701EB4"/>
    <w:rsid w:val="00724DED"/>
    <w:rsid w:val="00740A7F"/>
    <w:rsid w:val="007652FB"/>
    <w:rsid w:val="00772229"/>
    <w:rsid w:val="007D3056"/>
    <w:rsid w:val="00836EAB"/>
    <w:rsid w:val="008901BD"/>
    <w:rsid w:val="008902F9"/>
    <w:rsid w:val="00896856"/>
    <w:rsid w:val="008E1367"/>
    <w:rsid w:val="00907F57"/>
    <w:rsid w:val="00924FFF"/>
    <w:rsid w:val="00935D8A"/>
    <w:rsid w:val="00960CF5"/>
    <w:rsid w:val="009A1D24"/>
    <w:rsid w:val="009B1942"/>
    <w:rsid w:val="009C378D"/>
    <w:rsid w:val="009E5554"/>
    <w:rsid w:val="00A163E1"/>
    <w:rsid w:val="00A21C57"/>
    <w:rsid w:val="00A35E1E"/>
    <w:rsid w:val="00A6139B"/>
    <w:rsid w:val="00A94666"/>
    <w:rsid w:val="00AE41C6"/>
    <w:rsid w:val="00B55989"/>
    <w:rsid w:val="00B96E4F"/>
    <w:rsid w:val="00BB2461"/>
    <w:rsid w:val="00BB45C2"/>
    <w:rsid w:val="00BE6C59"/>
    <w:rsid w:val="00C7283E"/>
    <w:rsid w:val="00D72603"/>
    <w:rsid w:val="00D73ED4"/>
    <w:rsid w:val="00DA72D5"/>
    <w:rsid w:val="00DC1AD3"/>
    <w:rsid w:val="00E06B02"/>
    <w:rsid w:val="00E12244"/>
    <w:rsid w:val="00E67109"/>
    <w:rsid w:val="00E81AD9"/>
    <w:rsid w:val="00E97DB2"/>
    <w:rsid w:val="00EA291B"/>
    <w:rsid w:val="00EA6F13"/>
    <w:rsid w:val="00EB1098"/>
    <w:rsid w:val="00EC5339"/>
    <w:rsid w:val="00EC6CB8"/>
    <w:rsid w:val="00EE1D2F"/>
    <w:rsid w:val="00F12814"/>
    <w:rsid w:val="00F21650"/>
    <w:rsid w:val="00F25E9E"/>
    <w:rsid w:val="00F47FAE"/>
    <w:rsid w:val="00F840F3"/>
    <w:rsid w:val="00FD65E5"/>
    <w:rsid w:val="00FF0CA5"/>
  </w:rsids>
  <m:mathPr>
    <m:mathFont m:val="Cambria Math"/>
    <m:brkBin m:val="before"/>
    <m:brkBinSub m:val="--"/>
    <m:smallFrac m:val="0"/>
    <m:dispDef/>
    <m:lMargin m:val="0"/>
    <m:rMargin m:val="0"/>
    <m:defJc m:val="centerGroup"/>
    <m:wrapIndent m:val="1440"/>
    <m:intLim m:val="subSup"/>
    <m:naryLim m:val="undOvr"/>
  </m:mathPr>
  <w:themeFontLang w:bidi="ar-SA"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457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qFormat="true" w:name="Title"/>
    <w:lsdException w:uiPriority="99" w:name="Body Text"/>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24FFF"/>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622DF8"/>
    <w:rPr>
      <w:rFonts w:cs="Tahoma" w:hAnsi="Tahoma" w:ascii="Tahoma"/>
      <w:sz w:val="16"/>
      <w:szCs w:val="16"/>
    </w:rPr>
  </w:style>
  <w:style w:styleId="Zaglavlje" w:type="paragraph">
    <w:name w:val="header"/>
    <w:basedOn w:val="Normal"/>
    <w:link w:val="ZaglavljeChar"/>
    <w:uiPriority w:val="99"/>
    <w:rsid w:val="00A6139B"/>
    <w:pPr>
      <w:tabs>
        <w:tab w:pos="4536" w:val="center"/>
        <w:tab w:pos="9072" w:val="right"/>
      </w:tabs>
    </w:pPr>
  </w:style>
  <w:style w:customStyle="true" w:styleId="ZaglavljeChar" w:type="character">
    <w:name w:val="Zaglavlje Char"/>
    <w:basedOn w:val="Zadanifontodlomka"/>
    <w:link w:val="Zaglavlje"/>
    <w:uiPriority w:val="99"/>
    <w:rsid w:val="00A6139B"/>
    <w:rPr>
      <w:sz w:val="24"/>
      <w:szCs w:val="24"/>
    </w:rPr>
  </w:style>
  <w:style w:styleId="Podnoje" w:type="paragraph">
    <w:name w:val="footer"/>
    <w:basedOn w:val="Normal"/>
    <w:link w:val="PodnojeChar"/>
    <w:uiPriority w:val="99"/>
    <w:rsid w:val="00A6139B"/>
    <w:pPr>
      <w:tabs>
        <w:tab w:pos="4536" w:val="center"/>
        <w:tab w:pos="9072" w:val="right"/>
      </w:tabs>
    </w:pPr>
  </w:style>
  <w:style w:customStyle="true" w:styleId="PodnojeChar" w:type="character">
    <w:name w:val="Podnožje Char"/>
    <w:basedOn w:val="Zadanifontodlomka"/>
    <w:link w:val="Podnoje"/>
    <w:uiPriority w:val="99"/>
    <w:rsid w:val="00A6139B"/>
    <w:rPr>
      <w:sz w:val="24"/>
      <w:szCs w:val="24"/>
    </w:rPr>
  </w:style>
  <w:style w:styleId="Odlomakpopisa" w:type="paragraph">
    <w:name w:val="List Paragraph"/>
    <w:basedOn w:val="Normal"/>
    <w:uiPriority w:val="34"/>
    <w:qFormat/>
    <w:rsid w:val="00FF0CA5"/>
    <w:pPr>
      <w:ind w:left="720"/>
      <w:contextualSpacing/>
    </w:pPr>
  </w:style>
  <w:style w:styleId="Tijeloteksta" w:type="paragraph">
    <w:name w:val="Body Text"/>
    <w:basedOn w:val="Normal"/>
    <w:link w:val="TijelotekstaChar"/>
    <w:uiPriority w:val="99"/>
    <w:unhideWhenUsed/>
    <w:rsid w:val="00BB2461"/>
    <w:pPr>
      <w:jc w:val="both"/>
    </w:pPr>
    <w:rPr>
      <w:szCs w:val="20"/>
    </w:rPr>
  </w:style>
  <w:style w:customStyle="true" w:styleId="TijelotekstaChar" w:type="character">
    <w:name w:val="Tijelo teksta Char"/>
    <w:basedOn w:val="Zadanifontodlomka"/>
    <w:link w:val="Tijeloteksta"/>
    <w:uiPriority w:val="99"/>
    <w:rsid w:val="00BB2461"/>
    <w:rPr>
      <w:sz w:val="24"/>
    </w:rPr>
  </w:style>
  <w:style w:customStyle="true" w:styleId="clanak-" w:type="paragraph">
    <w:name w:val="clanak-"/>
    <w:basedOn w:val="Normal"/>
    <w:rsid w:val="00100EF0"/>
    <w:pPr>
      <w:spacing w:afterAutospacing="true" w:after="100" w:beforeAutospacing="true" w:before="100"/>
    </w:pPr>
  </w:style>
  <w:style w:customStyle="true" w:styleId="t-9-8" w:type="paragraph">
    <w:name w:val="t-9-8"/>
    <w:basedOn w:val="Normal"/>
    <w:rsid w:val="00100EF0"/>
    <w:pPr>
      <w:spacing w:afterAutospacing="true" w:after="100" w:beforeAutospacing="true" w:before="100"/>
    </w:pPr>
  </w:style>
  <w:style w:customStyle="true" w:styleId="t-9-8-bez-uvl" w:type="paragraph">
    <w:name w:val="t-9-8-bez-uvl"/>
    <w:basedOn w:val="Normal"/>
    <w:rsid w:val="00316167"/>
    <w:pPr>
      <w:spacing w:afterAutospacing="true" w:after="100" w:beforeAutospacing="true" w:before="100"/>
    </w:pPr>
  </w:style>
  <w:style w:styleId="Tekstrezerviranogmjesta" w:type="character">
    <w:name w:val="Placeholder Text"/>
    <w:basedOn w:val="Zadanifontodlomka"/>
    <w:uiPriority w:val="99"/>
    <w:semiHidden/>
    <w:rsid w:val="00836EAB"/>
    <w:rPr>
      <w:color w:val="808080"/>
      <w:bdr w:space="0" w:sz="0" w:color="auto" w:val="none"/>
      <w:shd w:fill="auto" w:color="auto" w:val="clear"/>
    </w:rPr>
  </w:style>
  <w:style w:customStyle="true" w:styleId="eSPISCCParagraphDefaultFont" w:type="character">
    <w:name w:val="eSPIS_CC_Paragraph Default Font"/>
    <w:basedOn w:val="Zadanifontodlomka"/>
    <w:rsid w:val="00836EA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36EAB"/>
    <w:rPr>
      <w:rFonts w:cs="Arial" w:hAnsi="Arial" w:ascii="Arial"/>
      <w:bdr w:space="0" w:sz="0" w:color="auto" w:val="none"/>
      <w:shd w:fill="FFFFCC" w:color="auto" w:val="clear"/>
      <w:lang w:val="hr-HR"/>
    </w:rPr>
  </w:style>
  <w:style w:customStyle="true" w:styleId="PozadinaSvijetloCrvena" w:type="character">
    <w:name w:val="Pozadina_SvijetloCrvena"/>
    <w:basedOn w:val="eSPISCCParagraphDefaultFont"/>
    <w:rsid w:val="00836EAB"/>
    <w:rPr>
      <w:rFonts w:cs="Arial" w:hAnsi="Arial" w:ascii="Arial"/>
      <w:sz w:val="24"/>
      <w:bdr w:space="0" w:sz="0" w:color="auto" w:val="none"/>
      <w:shd w:fill="FFCCCC" w:color="auto" w:val="clear"/>
      <w:lang w:val="hr-HR"/>
    </w:rPr>
  </w:style>
  <w:style w:customStyle="true" w:styleId="PozadinaSvijetloZelena" w:type="character">
    <w:name w:val="Pozadina_SvijetloZelena"/>
    <w:basedOn w:val="eSPISCCParagraphDefaultFont"/>
    <w:rsid w:val="00836EAB"/>
    <w:rPr>
      <w:rFonts w:cs="Arial" w:hAnsi="Arial" w:ascii="Arial"/>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Body Text" w:uiPriority="99"/>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24FFF"/>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622DF8"/>
    <w:rPr>
      <w:rFonts w:ascii="Tahoma" w:cs="Tahoma" w:hAnsi="Tahoma"/>
      <w:sz w:val="16"/>
      <w:szCs w:val="16"/>
    </w:rPr>
  </w:style>
  <w:style w:styleId="Zaglavlje" w:type="paragraph">
    <w:name w:val="header"/>
    <w:basedOn w:val="Normal"/>
    <w:link w:val="ZaglavljeChar"/>
    <w:uiPriority w:val="99"/>
    <w:rsid w:val="00A6139B"/>
    <w:pPr>
      <w:tabs>
        <w:tab w:pos="4536" w:val="center"/>
        <w:tab w:pos="9072" w:val="right"/>
      </w:tabs>
    </w:pPr>
  </w:style>
  <w:style w:customStyle="1" w:styleId="ZaglavljeChar" w:type="character">
    <w:name w:val="Zaglavlje Char"/>
    <w:basedOn w:val="Zadanifontodlomka"/>
    <w:link w:val="Zaglavlje"/>
    <w:uiPriority w:val="99"/>
    <w:rsid w:val="00A6139B"/>
    <w:rPr>
      <w:sz w:val="24"/>
      <w:szCs w:val="24"/>
    </w:rPr>
  </w:style>
  <w:style w:styleId="Podnoje" w:type="paragraph">
    <w:name w:val="footer"/>
    <w:basedOn w:val="Normal"/>
    <w:link w:val="PodnojeChar"/>
    <w:uiPriority w:val="99"/>
    <w:rsid w:val="00A6139B"/>
    <w:pPr>
      <w:tabs>
        <w:tab w:pos="4536" w:val="center"/>
        <w:tab w:pos="9072" w:val="right"/>
      </w:tabs>
    </w:pPr>
  </w:style>
  <w:style w:customStyle="1" w:styleId="PodnojeChar" w:type="character">
    <w:name w:val="Podnožje Char"/>
    <w:basedOn w:val="Zadanifontodlomka"/>
    <w:link w:val="Podnoje"/>
    <w:uiPriority w:val="99"/>
    <w:rsid w:val="00A6139B"/>
    <w:rPr>
      <w:sz w:val="24"/>
      <w:szCs w:val="24"/>
    </w:rPr>
  </w:style>
  <w:style w:styleId="Odlomakpopisa" w:type="paragraph">
    <w:name w:val="List Paragraph"/>
    <w:basedOn w:val="Normal"/>
    <w:uiPriority w:val="34"/>
    <w:qFormat/>
    <w:rsid w:val="00FF0CA5"/>
    <w:pPr>
      <w:ind w:left="720"/>
      <w:contextualSpacing/>
    </w:pPr>
  </w:style>
  <w:style w:styleId="Tijeloteksta" w:type="paragraph">
    <w:name w:val="Body Text"/>
    <w:basedOn w:val="Normal"/>
    <w:link w:val="TijelotekstaChar"/>
    <w:uiPriority w:val="99"/>
    <w:unhideWhenUsed/>
    <w:rsid w:val="00BB2461"/>
    <w:pPr>
      <w:jc w:val="both"/>
    </w:pPr>
    <w:rPr>
      <w:szCs w:val="20"/>
    </w:rPr>
  </w:style>
  <w:style w:customStyle="1" w:styleId="TijelotekstaChar" w:type="character">
    <w:name w:val="Tijelo teksta Char"/>
    <w:basedOn w:val="Zadanifontodlomka"/>
    <w:link w:val="Tijeloteksta"/>
    <w:uiPriority w:val="99"/>
    <w:rsid w:val="00BB2461"/>
    <w:rPr>
      <w:sz w:val="24"/>
    </w:rPr>
  </w:style>
  <w:style w:customStyle="1" w:styleId="clanak-" w:type="paragraph">
    <w:name w:val="clanak-"/>
    <w:basedOn w:val="Normal"/>
    <w:rsid w:val="00100EF0"/>
    <w:pPr>
      <w:spacing w:after="100" w:afterAutospacing="1" w:before="100" w:beforeAutospacing="1"/>
    </w:pPr>
  </w:style>
  <w:style w:customStyle="1" w:styleId="t-9-8" w:type="paragraph">
    <w:name w:val="t-9-8"/>
    <w:basedOn w:val="Normal"/>
    <w:rsid w:val="00100EF0"/>
    <w:pPr>
      <w:spacing w:after="100" w:afterAutospacing="1" w:before="100" w:beforeAutospacing="1"/>
    </w:pPr>
  </w:style>
  <w:style w:customStyle="1" w:styleId="t-9-8-bez-uvl" w:type="paragraph">
    <w:name w:val="t-9-8-bez-uvl"/>
    <w:basedOn w:val="Normal"/>
    <w:rsid w:val="00316167"/>
    <w:pPr>
      <w:spacing w:after="100" w:afterAutospacing="1" w:before="100" w:beforeAutospacing="1"/>
    </w:pPr>
  </w:style>
  <w:style w:styleId="Tekstrezerviranogmjesta" w:type="character">
    <w:name w:val="Placeholder Text"/>
    <w:basedOn w:val="Zadanifontodlomka"/>
    <w:uiPriority w:val="99"/>
    <w:semiHidden/>
    <w:rsid w:val="00836EAB"/>
    <w:rPr>
      <w:color w:val="808080"/>
      <w:bdr w:color="auto" w:space="0" w:sz="0" w:val="none"/>
      <w:shd w:color="auto" w:fill="auto" w:val="clear"/>
    </w:rPr>
  </w:style>
  <w:style w:customStyle="1" w:styleId="eSPISCCParagraphDefaultFont" w:type="character">
    <w:name w:val="eSPIS_CC_Paragraph Default Font"/>
    <w:basedOn w:val="Zadanifontodlomka"/>
    <w:rsid w:val="00836EA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36EAB"/>
    <w:rPr>
      <w:rFonts w:ascii="Arial" w:cs="Arial" w:hAnsi="Arial"/>
      <w:bdr w:color="auto" w:space="0" w:sz="0" w:val="none"/>
      <w:shd w:color="auto" w:fill="FFFFCC" w:val="clear"/>
      <w:lang w:val="hr-HR"/>
    </w:rPr>
  </w:style>
  <w:style w:customStyle="1" w:styleId="PozadinaSvijetloCrvena" w:type="character">
    <w:name w:val="Pozadina_SvijetloCrvena"/>
    <w:basedOn w:val="eSPISCCParagraphDefaultFont"/>
    <w:rsid w:val="00836EAB"/>
    <w:rPr>
      <w:rFonts w:ascii="Arial" w:cs="Arial" w:hAnsi="Arial"/>
      <w:sz w:val="24"/>
      <w:bdr w:color="auto" w:space="0" w:sz="0" w:val="none"/>
      <w:shd w:color="auto" w:fill="FFCCCC" w:val="clear"/>
      <w:lang w:val="hr-HR"/>
    </w:rPr>
  </w:style>
  <w:style w:customStyle="1" w:styleId="PozadinaSvijetloZelena" w:type="character">
    <w:name w:val="Pozadina_SvijetloZelena"/>
    <w:basedOn w:val="eSPISCCParagraphDefaultFont"/>
    <w:rsid w:val="00836EAB"/>
    <w:rPr>
      <w:rFonts w:ascii="Arial" w:cs="Arial" w:hAnsi="Arial"/>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81865717">
      <w:bodyDiv w:val="true"/>
      <w:marLeft w:val="0"/>
      <w:marRight w:val="0"/>
      <w:marTop w:val="0"/>
      <w:marBottom w:val="0"/>
      <w:divBdr>
        <w:top w:space="0" w:sz="0" w:color="auto" w:val="none"/>
        <w:left w:space="0" w:sz="0" w:color="auto" w:val="none"/>
        <w:bottom w:space="0" w:sz="0" w:color="auto" w:val="none"/>
        <w:right w:space="0" w:sz="0" w:color="auto" w:val="none"/>
      </w:divBdr>
    </w:div>
    <w:div w:id="105801657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listopada 2018.</izvorni_sadrzaj>
    <derivirana_varijabla naziv="DomainObject.DatumDonosenjaOdluke_1">9.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1091</izvorni_sadrzaj>
    <derivirana_varijabla naziv="DomainObject.Predmet.Broj_1">1091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listopada 2016.</izvorni_sadrzaj>
    <derivirana_varijabla naziv="DomainObject.Predmet.DatumOsnivanja_1">21.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St-1091/2016</izvorni_sadrzaj>
    <derivirana_varijabla naziv="DomainObject.Predmet.OznakaBroj_1">St-1091/2016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prijava tražbina vjerovnika čuva se u ormaru u 
sobi 42</izvorni_sadrzaj>
    <derivirana_varijabla naziv="DomainObject.Predmet.PrimjedbaSuca_1">prijava tražbina vjerovnika čuva se u ormaru u 
sobi 42</derivirana_varijabla>
  </DomainObject.Predmet.PrimjedbaSuca>
  <DomainObject.Predmet.ProtustrankaFormated>
    <izvorni_sadrzaj>  ŠKVERIĆ, d.o.o. za trgovinu i turizam zastupanog po punomoćniku Boško Uroda</izvorni_sadrzaj>
    <derivirana_varijabla naziv="DomainObject.Predmet.ProtustrankaFormated_1">  ŠKVERIĆ, d.o.o. za trgovinu i turizam zastupanog po punomoćniku Boško Uroda</derivirana_varijabla>
  </DomainObject.Predmet.ProtustrankaFormated>
  <DomainObject.Predmet.ProtustrankaFormatedOIB>
    <izvorni_sadrzaj>  ŠKVERIĆ, d.o.o. za trgovinu i turizam, OIB 60841016992 zastupanog po punomoćniku Boško Uroda</izvorni_sadrzaj>
    <derivirana_varijabla naziv="DomainObject.Predmet.ProtustrankaFormatedOIB_1">  ŠKVERIĆ, d.o.o. za trgovinu i turizam, OIB 60841016992 zastupanog po punomoćniku Boško Uroda</derivirana_varijabla>
  </DomainObject.Predmet.ProtustrankaFormatedOIB>
  <DomainObject.Predmet.ProtustrankaFormatedWithAdress>
    <izvorni_sadrzaj> ŠKVERIĆ, d.o.o. za trgovinu i turizam, Kornatska 2, 23210 Biograd Na Moru zastupanog po punomoćniku Boško Uroda</izvorni_sadrzaj>
    <derivirana_varijabla naziv="DomainObject.Predmet.ProtustrankaFormatedWithAdress_1"> ŠKVERIĆ, d.o.o. za trgovinu i turizam, Kornatska 2, 23210 Biograd Na Moru zastupanog po punomoćniku Boško Uroda</derivirana_varijabla>
  </DomainObject.Predmet.ProtustrankaFormatedWithAdress>
  <DomainObject.Predmet.ProtustrankaFormatedWithAdressOIB>
    <izvorni_sadrzaj> ŠKVERIĆ, d.o.o. za trgovinu i turizam, OIB 60841016992, Kornatska 2, 23210 Biograd Na Moru zastupanog po punomoćniku Boško Uroda</izvorni_sadrzaj>
    <derivirana_varijabla naziv="DomainObject.Predmet.ProtustrankaFormatedWithAdressOIB_1"> ŠKVERIĆ, d.o.o. za trgovinu i turizam, OIB 60841016992, Kornatska 2, 23210 Biograd Na Moru zastupanog po punomoćniku Boško Uroda</derivirana_varijabla>
  </DomainObject.Predmet.ProtustrankaFormatedWithAdressOIB>
  <DomainObject.Predmet.ProtustrankaWithAdress>
    <izvorni_sadrzaj>ŠKVERIĆ, d.o.o. za trgovinu i turizam Kornatska 2, 23210 Biograd Na Moru</izvorni_sadrzaj>
    <derivirana_varijabla naziv="DomainObject.Predmet.ProtustrankaWithAdress_1">ŠKVERIĆ, d.o.o. za trgovinu i turizam Kornatska 2, 23210 Biograd Na Moru</derivirana_varijabla>
  </DomainObject.Predmet.ProtustrankaWithAdress>
  <DomainObject.Predmet.ProtustrankaWithAdressOIB>
    <izvorni_sadrzaj>ŠKVERIĆ, d.o.o. za trgovinu i turizam, OIB 60841016992, Kornatska 2, 23210 Biograd Na Moru</izvorni_sadrzaj>
    <derivirana_varijabla naziv="DomainObject.Predmet.ProtustrankaWithAdressOIB_1">ŠKVERIĆ, d.o.o. za trgovinu i turizam, OIB 60841016992, Kornatska 2, 23210 Biograd Na Moru</derivirana_varijabla>
  </DomainObject.Predmet.ProtustrankaWithAdressOIB>
  <DomainObject.Predmet.ProtustrankaNazivFormated>
    <izvorni_sadrzaj>ŠKVERIĆ, d.o.o. za trgovinu i turizam</izvorni_sadrzaj>
    <derivirana_varijabla naziv="DomainObject.Predmet.ProtustrankaNazivFormated_1">ŠKVERIĆ, d.o.o. za trgovinu i turizam</derivirana_varijabla>
  </DomainObject.Predmet.ProtustrankaNazivFormated>
  <DomainObject.Predmet.ProtustrankaNazivFormatedOIB>
    <izvorni_sadrzaj>ŠKVERIĆ, d.o.o. za trgovinu i turizam, OIB 60841016992</izvorni_sadrzaj>
    <derivirana_varijabla naziv="DomainObject.Predmet.ProtustrankaNazivFormatedOIB_1">ŠKVERIĆ, d.o.o. za trgovinu i turizam, OIB 60841016992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GRAD BIOGRAD NA MORU</izvorni_sadrzaj>
    <derivirana_varijabla naziv="DomainObject.Predmet.StrankaFormated_1">  Financijska agencija; GRAD BIOGRAD NA MORU</derivirana_varijabla>
  </DomainObject.Predmet.StrankaFormated>
  <DomainObject.Predmet.StrankaFormatedOIB>
    <izvorni_sadrzaj>  Financijska agencija, OIB 85821130368; GRAD BIOGRAD NA MORU, OIB 95603491861</izvorni_sadrzaj>
    <derivirana_varijabla naziv="DomainObject.Predmet.StrankaFormatedOIB_1">  Financijska agencija, OIB 85821130368; GRAD BIOGRAD NA MORU, OIB 95603491861</derivirana_varijabla>
  </DomainObject.Predmet.StrankaFormatedOIB>
  <DomainObject.Predmet.StrankaFormatedWithAdress>
    <izvorni_sadrzaj> Financijska agencija, Ivana Danila 4, 23000 Zadar; GRAD BIOGRAD NA MORU, Trg kralja Tomislava 5, 23210 Biograd Na Moru</izvorni_sadrzaj>
    <derivirana_varijabla naziv="DomainObject.Predmet.StrankaFormatedWithAdress_1"> Financijska agencija, Ivana Danila 4, 23000 Zadar; GRAD BIOGRAD NA MORU, Trg kralja Tomislava 5, 23210 Biograd Na Moru</derivirana_varijabla>
  </DomainObject.Predmet.StrankaFormatedWithAdress>
  <DomainObject.Predmet.StrankaFormatedWithAdressOIB>
    <izvorni_sadrzaj> Financijska agencija, OIB 85821130368, Ivana Danila 4, 23000 Zadar; GRAD BIOGRAD NA MORU, OIB 95603491861, Trg kralja Tomislava 5, 23210 Biograd Na Moru</izvorni_sadrzaj>
    <derivirana_varijabla naziv="DomainObject.Predmet.StrankaFormatedWithAdressOIB_1"> Financijska agencija, OIB 85821130368, Ivana Danila 4, 23000 Zadar; GRAD BIOGRAD NA MORU, OIB 95603491861, Trg kralja Tomislava 5, 23210 Biograd Na Moru</derivirana_varijabla>
  </DomainObject.Predmet.StrankaFormatedWithAdressOIB>
  <DomainObject.Predmet.StrankaWithAdress>
    <izvorni_sadrzaj>Financijska agencija Ivana Danila 4,23000 Zadar,GRAD BIOGRAD NA MORU Trg kralja Tomislava 5,23210 Biograd Na Moru</izvorni_sadrzaj>
    <derivirana_varijabla naziv="DomainObject.Predmet.StrankaWithAdress_1">Financijska agencija Ivana Danila 4,23000 Zadar,GRAD BIOGRAD NA MORU Trg kralja Tomislava 5,23210 Biograd Na Moru</derivirana_varijabla>
  </DomainObject.Predmet.StrankaWithAdress>
  <DomainObject.Predmet.StrankaWithAdressOIB>
    <izvorni_sadrzaj>Financijska agencija, OIB 85821130368, Ivana Danila 4,23000 Zadar,GRAD BIOGRAD NA MORU, OIB 95603491861, Trg kralja Tomislava 5,23210 Biograd Na Moru</izvorni_sadrzaj>
    <derivirana_varijabla naziv="DomainObject.Predmet.StrankaWithAdressOIB_1">Financijska agencija, OIB 85821130368, Ivana Danila 4,23000 Zadar,GRAD BIOGRAD NA MORU, OIB 95603491861, Trg kralja Tomislava 5,23210 Biograd Na Moru</derivirana_varijabla>
  </DomainObject.Predmet.StrankaWithAdressOIB>
  <DomainObject.Predmet.StrankaNazivFormated>
    <izvorni_sadrzaj>Financijska agencija,GRAD BIOGRAD NA MORU</izvorni_sadrzaj>
    <derivirana_varijabla naziv="DomainObject.Predmet.StrankaNazivFormated_1">Financijska agencija,GRAD BIOGRAD NA MORU</derivirana_varijabla>
  </DomainObject.Predmet.StrankaNazivFormated>
  <DomainObject.Predmet.StrankaNazivFormatedOIB>
    <izvorni_sadrzaj>Financijska agencija, OIB 85821130368,GRAD BIOGRAD NA MORU, OIB 95603491861</izvorni_sadrzaj>
    <derivirana_varijabla naziv="DomainObject.Predmet.StrankaNazivFormatedOIB_1">Financijska agencija, OIB 85821130368,GRAD BIOGRAD NA MORU, OIB 95603491861</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Ante Rubelj</izvorni_sadrzaj>
    <derivirana_varijabla naziv="DomainObject.Predmet.Zapisnicar_1">Ante Rubelj</derivirana_varijabla>
  </DomainObject.Predmet.Zapisnicar>
  <DomainObject.Predmet.StrankaListFormated>
    <izvorni_sadrzaj>
      <item>Financijska agencija</item>
      <item>GRAD BIOGRAD NA MORU</item>
    </izvorni_sadrzaj>
    <derivirana_varijabla naziv="DomainObject.Predmet.StrankaListFormated_1">
      <item>Financijska agencija</item>
      <item>GRAD BIOGRAD NA MORU</item>
    </derivirana_varijabla>
  </DomainObject.Predmet.StrankaListFormated>
  <DomainObject.Predmet.StrankaListFormatedOIB>
    <izvorni_sadrzaj>
      <item>Financijska agencija, OIB 85821130368</item>
      <item>GRAD BIOGRAD NA MORU, OIB 95603491861</item>
    </izvorni_sadrzaj>
    <derivirana_varijabla naziv="DomainObject.Predmet.StrankaListFormatedOIB_1">
      <item>Financijska agencija, OIB 85821130368</item>
      <item>GRAD BIOGRAD NA MORU, OIB 95603491861</item>
    </derivirana_varijabla>
  </DomainObject.Predmet.StrankaListFormatedOIB>
  <DomainObject.Predmet.StrankaListFormatedWithAdress>
    <izvorni_sadrzaj>
      <item>Financijska agencija, Ivana Danila 4, 23000 Zadar</item>
      <item>GRAD BIOGRAD NA MORU, Trg kralja Tomislava 5, 23210 Biograd Na Moru</item>
    </izvorni_sadrzaj>
    <derivirana_varijabla naziv="DomainObject.Predmet.StrankaListFormatedWithAdress_1">
      <item>Financijska agencija, Ivana Danila 4, 23000 Zadar</item>
      <item>GRAD BIOGRAD NA MORU, Trg kralja Tomislava 5, 23210 Biograd Na Moru</item>
    </derivirana_varijabla>
  </DomainObject.Predmet.StrankaListFormatedWithAdress>
  <DomainObject.Predmet.StrankaListFormatedWithAdressOIB>
    <izvorni_sadrzaj>
      <item>Financijska agencija, OIB 85821130368, Ivana Danila 4, 23000 Zadar</item>
      <item>GRAD BIOGRAD NA MORU, OIB 95603491861, Trg kralja Tomislava 5, 23210 Biograd Na Moru</item>
    </izvorni_sadrzaj>
    <derivirana_varijabla naziv="DomainObject.Predmet.StrankaListFormatedWithAdressOIB_1">
      <item>Financijska agencija, OIB 85821130368, Ivana Danila 4, 23000 Zadar</item>
      <item>GRAD BIOGRAD NA MORU, OIB 95603491861, Trg kralja Tomislava 5, 23210 Biograd Na Moru</item>
    </derivirana_varijabla>
  </DomainObject.Predmet.StrankaListFormatedWithAdressOIB>
  <DomainObject.Predmet.StrankaListNazivFormated>
    <izvorni_sadrzaj>
      <item>Financijska agencija</item>
      <item>GRAD BIOGRAD NA MORU</item>
    </izvorni_sadrzaj>
    <derivirana_varijabla naziv="DomainObject.Predmet.StrankaListNazivFormated_1">
      <item>Financijska agencija</item>
      <item>GRAD BIOGRAD NA MORU</item>
    </derivirana_varijabla>
  </DomainObject.Predmet.StrankaListNazivFormated>
  <DomainObject.Predmet.StrankaListNazivFormatedOIB>
    <izvorni_sadrzaj>
      <item>Financijska agencija, OIB 85821130368</item>
      <item>GRAD BIOGRAD NA MORU, OIB 95603491861</item>
    </izvorni_sadrzaj>
    <derivirana_varijabla naziv="DomainObject.Predmet.StrankaListNazivFormatedOIB_1">
      <item>Financijska agencija, OIB 85821130368</item>
      <item>GRAD BIOGRAD NA MORU, OIB 95603491861</item>
    </derivirana_varijabla>
  </DomainObject.Predmet.StrankaListNazivFormatedOIB>
  <DomainObject.Predmet.ProtuStrankaListFormated>
    <izvorni_sadrzaj>
      <item>ŠKVERIĆ, d.o.o. za trgovinu i turizam zastupanog po punomoćniku Boško Uroda</item>
    </izvorni_sadrzaj>
    <derivirana_varijabla naziv="DomainObject.Predmet.ProtuStrankaListFormated_1">
      <item>ŠKVERIĆ, d.o.o. za trgovinu i turizam zastupanog po punomoćniku Boško Uroda</item>
    </derivirana_varijabla>
  </DomainObject.Predmet.ProtuStrankaListFormated>
  <DomainObject.Predmet.ProtuStrankaListFormatedOIB>
    <izvorni_sadrzaj>
      <item>ŠKVERIĆ, d.o.o. za trgovinu i turizam, OIB 60841016992 zastupanog po punomoćniku Boško Uroda</item>
    </izvorni_sadrzaj>
    <derivirana_varijabla naziv="DomainObject.Predmet.ProtuStrankaListFormatedOIB_1">
      <item>ŠKVERIĆ, d.o.o. za trgovinu i turizam, OIB 60841016992 zastupanog po punomoćniku Boško Uroda</item>
    </derivirana_varijabla>
  </DomainObject.Predmet.ProtuStrankaListFormatedOIB>
  <DomainObject.Predmet.ProtuStrankaListFormatedWithAdress>
    <izvorni_sadrzaj>
      <item>ŠKVERIĆ, d.o.o. za trgovinu i turizam, Kornatska 2, 23210 Biograd Na Moru zastupanog po punomoćniku Boško Uroda</item>
    </izvorni_sadrzaj>
    <derivirana_varijabla naziv="DomainObject.Predmet.ProtuStrankaListFormatedWithAdress_1">
      <item>ŠKVERIĆ, d.o.o. za trgovinu i turizam, Kornatska 2, 23210 Biograd Na Moru zastupanog po punomoćniku Boško Uroda</item>
    </derivirana_varijabla>
  </DomainObject.Predmet.ProtuStrankaListFormatedWithAdress>
  <DomainObject.Predmet.ProtuStrankaListFormatedWithAdressOIB>
    <izvorni_sadrzaj>
      <item>ŠKVERIĆ, d.o.o. za trgovinu i turizam, OIB 60841016992, Kornatska 2, 23210 Biograd Na Moru zastupanog po punomoćniku Boško Uroda</item>
    </izvorni_sadrzaj>
    <derivirana_varijabla naziv="DomainObject.Predmet.ProtuStrankaListFormatedWithAdressOIB_1">
      <item>ŠKVERIĆ, d.o.o. za trgovinu i turizam, OIB 60841016992, Kornatska 2, 23210 Biograd Na Moru zastupanog po punomoćniku Boško Uroda</item>
    </derivirana_varijabla>
  </DomainObject.Predmet.ProtuStrankaListFormatedWithAdressOIB>
  <DomainObject.Predmet.ProtuStrankaListNazivFormated>
    <izvorni_sadrzaj>
      <item>ŠKVERIĆ, d.o.o. za trgovinu i turizam</item>
    </izvorni_sadrzaj>
    <derivirana_varijabla naziv="DomainObject.Predmet.ProtuStrankaListNazivFormated_1">
      <item>ŠKVERIĆ, d.o.o. za trgovinu i turizam</item>
    </derivirana_varijabla>
  </DomainObject.Predmet.ProtuStrankaListNazivFormated>
  <DomainObject.Predmet.ProtuStrankaListNazivFormatedOIB>
    <izvorni_sadrzaj>
      <item>ŠKVERIĆ, d.o.o. za trgovinu i turizam, OIB 60841016992</item>
    </izvorni_sadrzaj>
    <derivirana_varijabla naziv="DomainObject.Predmet.ProtuStrankaListNazivFormatedOIB_1">
      <item>ŠKVERIĆ, d.o.o. za trgovinu i turizam, OIB 60841016992</item>
    </derivirana_varijabla>
  </DomainObject.Predmet.ProtuStrankaListNazivFormatedOIB>
  <DomainObject.Predmet.OstaliListFormated>
    <izvorni_sadrzaj>
      <item>Boško Uroda punomoćnik sudionika u postupku ŠKVERIĆ, d.o.o. za trgovinu i turizam</item>
    </izvorni_sadrzaj>
    <derivirana_varijabla naziv="DomainObject.Predmet.OstaliListFormated_1">
      <item>Boško Uroda punomoćnik sudionika u postupku ŠKVERIĆ, d.o.o. za trgovinu i turizam</item>
    </derivirana_varijabla>
  </DomainObject.Predmet.OstaliListFormated>
  <DomainObject.Predmet.OstaliListFormatedOIB>
    <izvorni_sadrzaj>
      <item>Boško Uroda punomoćnik sudionika u postupku ŠKVERIĆ, d.o.o. za trgovinu i turizam</item>
    </izvorni_sadrzaj>
    <derivirana_varijabla naziv="DomainObject.Predmet.OstaliListFormatedOIB_1">
      <item>Boško Uroda punomoćnik sudionika u postupku ŠKVERIĆ, d.o.o. za trgovinu i turizam</item>
    </derivirana_varijabla>
  </DomainObject.Predmet.OstaliListFormatedOIB>
  <DomainObject.Predmet.OstaliListFormatedWithAdress>
    <izvorni_sadrzaj>
      <item>Boško Uroda, Kornatska 1, 23210 Biograd Na Moru punomoćnik sudionika u postupku ŠKVERIĆ, d.o.o. za trgovinu i turizam</item>
    </izvorni_sadrzaj>
    <derivirana_varijabla naziv="DomainObject.Predmet.OstaliListFormatedWithAdress_1">
      <item>Boško Uroda, Kornatska 1, 23210 Biograd Na Moru punomoćnik sudionika u postupku ŠKVERIĆ, d.o.o. za trgovinu i turizam</item>
    </derivirana_varijabla>
  </DomainObject.Predmet.OstaliListFormatedWithAdress>
  <DomainObject.Predmet.OstaliListFormatedWithAdressOIB>
    <izvorni_sadrzaj>
      <item>Boško Uroda, Kornatska 1, 23210 Biograd Na Moru punomoćnik sudionika u postupku ŠKVERIĆ, d.o.o. za trgovinu i turizam</item>
    </izvorni_sadrzaj>
    <derivirana_varijabla naziv="DomainObject.Predmet.OstaliListFormatedWithAdressOIB_1">
      <item>Boško Uroda, Kornatska 1, 23210 Biograd Na Moru punomoćnik sudionika u postupku ŠKVERIĆ, d.o.o. za trgovinu i turizam</item>
    </derivirana_varijabla>
  </DomainObject.Predmet.OstaliListFormatedWithAdressOIB>
  <DomainObject.Predmet.OstaliListNazivFormated>
    <izvorni_sadrzaj>
      <item>Boško Uroda</item>
    </izvorni_sadrzaj>
    <derivirana_varijabla naziv="DomainObject.Predmet.OstaliListNazivFormated_1">
      <item>Boško Uroda</item>
    </derivirana_varijabla>
  </DomainObject.Predmet.OstaliListNazivFormated>
  <DomainObject.Predmet.OstaliListNazivFormatedOIB>
    <izvorni_sadrzaj>
      <item>Boško Uroda</item>
    </izvorni_sadrzaj>
    <derivirana_varijabla naziv="DomainObject.Predmet.OstaliListNazivFormatedOIB_1">
      <item>Boško Uroda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listopada 2018.</izvorni_sadrzaj>
    <derivirana_varijabla naziv="DomainObject.Datum_1">9. listopada 2018.</derivirana_varijabla>
  </DomainObject.Datum>
  <DomainObject.PoslovniBrojDokumenta>
    <izvorni_sadrzaj/>
    <derivirana_varijabla naziv="DomainObject.PoslovniBrojDokumenta_1"/>
  </DomainObject.PoslovniBrojDokumenta>
  <DomainObject.Predmet.StrankaIDrugi>
    <izvorni_sadrzaj>Financijska agencija i dr.</izvorni_sadrzaj>
    <derivirana_varijabla naziv="DomainObject.Predmet.StrankaIDrugi_1">Financijska agencija i dr.</derivirana_varijabla>
  </DomainObject.Predmet.StrankaIDrugi>
  <DomainObject.Predmet.ProtustrankaIDrugi>
    <izvorni_sadrzaj>ŠKVERIĆ, d.o.o. za trgovinu i turizam</izvorni_sadrzaj>
    <derivirana_varijabla naziv="DomainObject.Predmet.ProtustrankaIDrugi_1">ŠKVERIĆ, d.o.o. za trgovinu i turizam</derivirana_varijabla>
  </DomainObject.Predmet.ProtustrankaIDrugi>
  <DomainObject.Predmet.StrankaIDrugiAdressOIB>
    <izvorni_sadrzaj>Financijska agencija, OIB 85821130368, Ivana Danila 4, 23000 Zadar i dr.</izvorni_sadrzaj>
    <derivirana_varijabla naziv="DomainObject.Predmet.StrankaIDrugiAdressOIB_1">Financijska agencija, OIB 85821130368, Ivana Danila 4, 23000 Zadar i dr.</derivirana_varijabla>
  </DomainObject.Predmet.StrankaIDrugiAdressOIB>
  <DomainObject.Predmet.ProtustrankaIDrugiAdressOIB>
    <izvorni_sadrzaj>ŠKVERIĆ, d.o.o. za trgovinu i turizam, OIB 60841016992, Kornatska 2, 23210 Biograd Na Moru</izvorni_sadrzaj>
    <derivirana_varijabla naziv="DomainObject.Predmet.ProtustrankaIDrugiAdressOIB_1">ŠKVERIĆ, d.o.o. za trgovinu i turizam, OIB 60841016992, Kornatska 2, 23210 Biograd Na Moru</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ŠKVERIĆ, d.o.o. za trgovinu i turizam</item>
      <item>Financijska agencija</item>
      <item>Boško Uroda</item>
      <item>GRAD BIOGRAD NA MORU</item>
    </izvorni_sadrzaj>
    <derivirana_varijabla naziv="DomainObject.Predmet.SudioniciListNaziv_1">
      <item>ŠKVERIĆ, d.o.o. za trgovinu i turizam</item>
      <item>Financijska agencija</item>
      <item>Boško Uroda</item>
      <item>GRAD BIOGRAD NA MORU</item>
    </derivirana_varijabla>
  </DomainObject.Predmet.SudioniciListNaziv>
  <DomainObject.Predmet.SudioniciListAdressOIB>
    <izvorni_sadrzaj>
      <item>ŠKVERIĆ, d.o.o. za trgovinu i turizam, OIB 60841016992, Kornatska 2,23210 Biograd Na Moru</item>
      <item>Financijska agencija, OIB 85821130368, Ivana Danila 4,23000 Zadar</item>
      <item>Boško Uroda, Kornatska 1,23210 Biograd Na Moru</item>
      <item>GRAD BIOGRAD NA MORU, OIB 95603491861, Trg kralja Tomislava 5,23210 Biograd Na Moru</item>
    </izvorni_sadrzaj>
    <derivirana_varijabla naziv="DomainObject.Predmet.SudioniciListAdressOIB_1">
      <item>ŠKVERIĆ, d.o.o. za trgovinu i turizam, OIB 60841016992, Kornatska 2,23210 Biograd Na Moru</item>
      <item>Financijska agencija, OIB 85821130368, Ivana Danila 4,23000 Zadar</item>
      <item>Boško Uroda, Kornatska 1,23210 Biograd Na Moru</item>
      <item>GRAD BIOGRAD NA MORU, OIB 95603491861, Trg kralja Tomislava 5,23210 Biograd Na Moru</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60841016992</item>
      <item>, OIB 85821130368</item>
      <item>, OIB null</item>
      <item>, OIB 95603491861</item>
    </izvorni_sadrzaj>
    <derivirana_varijabla naziv="DomainObject.Predmet.SudioniciListNazivOIB_1">
      <item>, OIB 60841016992</item>
      <item>, OIB 85821130368</item>
      <item>, OIB null</item>
      <item>, OIB 95603491861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Blaž Savić, OIB 44660472906, B. J. Jelačića 4/5 Zadar</item>
    </izvorni_sadrzaj>
    <derivirana_varijabla naziv="DomainObject.Predmet.StecajniUpraviteljiListAddressOIB_1">
      <item>Blaž Savić, OIB 44660472906, B. J. Jelačića 4/5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17. siječnja 2018.</izvorni_sadrzaj>
    <derivirana_varijabla naziv="DomainObject.Predmet.DatumZadnjeOdrzaneSudskeRadnje_1">17. siječnja 2018.</derivirana_varijabla>
  </DomainObject.Predmet.DatumZadnjeOdrzaneSudskeRadnje>
  <DomainObject.PredzadnjaOdlukaIzPredmeta.DatumDonosenjaOdluke>
    <izvorni_sadrzaj>26. travnja 2018.</izvorni_sadrzaj>
    <derivirana_varijabla naziv="DomainObject.PredzadnjaOdlukaIzPredmeta.DatumDonosenjaOdluke_1">26. travnja 2018.</derivirana_varijabla>
  </DomainObject.PredzadnjaOdlukaIzPredmeta.DatumDonosenjaOdluke>
  <DomainObject.PredzadnjaOdlukaIzPredmeta.Oznaka>
    <izvorni_sadrzaj>St-1091/2016-49</izvorni_sadrzaj>
    <derivirana_varijabla naziv="DomainObject.PredzadnjaOdlukaIzPredmeta.Oznaka_1">St-1091/2016-49</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4D02C17-8364-4C9C-AAD2-71DA5FAFEFC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2</properties:Pages>
  <properties:Words>755</properties:Words>
  <properties:Characters>3923</properties:Characters>
  <properties:Lines>126</properties:Lines>
  <properties:Paragraphs>65</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4660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2018-10-08T17:04:00Z</dcterms:created>
  <dc:creator>Ardena Bajlo</dc:creator>
  <cp:lastModifiedBy>Ana Markač</cp:lastModifiedBy>
  <cp:lastPrinted>2018-10-09T12:34:00Z</cp:lastPrinted>
  <dcterms:modified xmlns:xsi="http://www.w3.org/2001/XMLSchema-instance" xsi:type="dcterms:W3CDTF">2018-10-09T12:37:00Z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određivanje nagrade stečajnom upravitelju (St-1091-16 ŠKVERIĆ  d.o.o. - nagrada st. upr. po novom.-UNOVČENA IMOVINA docx.docx)</vt:lpwstr>
  </prop:property>
  <prop:property name="CC_coloring" pid="4" fmtid="{D5CDD505-2E9C-101B-9397-08002B2CF9AE}">
    <vt:bool>false</vt:bool>
  </prop:property>
  <prop:property name="BrojStranica" pid="5" fmtid="{D5CDD505-2E9C-101B-9397-08002B2CF9AE}">
    <vt:i4>2</vt:i4>
  </prop:property>
</prop:Properties>
</file>