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8827" w14:paraId="8ad8827" w:rsidRDefault="00894ABD" w:rsidP="00894ABD" w:rsidR="00894ABD" w:rsidRPr="00894ABD">
      <w:pPr>
        <w:spacing w:lineRule="auto" w:line="240" w:after="0"/>
        <w:jc w:val="both"/>
        <w15:collapsed w:val="false"/>
        <w:rPr>
          <w:rFonts w:cs="Times New Roman" w:eastAsia="Calibri" w:hAnsi="Times New Roman" w:ascii="Times New Roman"/>
          <w:sz w:val="24"/>
          <w:szCs w:val="24"/>
        </w:rPr>
      </w:pPr>
      <w:bookmarkStart w:name="_GoBack" w:id="0"/>
      <w:bookmarkEnd w:id="0"/>
    </w:p>
    <w:tbl>
      <w:tblPr>
        <w:tblpPr w:tblpY="1" w:vertAnchor="text" w:rightFromText="180" w:leftFromText="180"/>
        <w:tblOverlap w:val="never"/>
        <w:tblW w:type="auto" w:w="0"/>
        <w:tblCellMar>
          <w:left w:type="dxa" w:w="0"/>
          <w:right w:type="dxa" w:w="0"/>
        </w:tblCellMar>
        <w:tblLook w:val="04A0" w:noVBand="1" w:noHBand="0" w:lastColumn="0" w:firstColumn="1" w:lastRow="0" w:firstRow="1"/>
      </w:tblPr>
      <w:tblGrid>
        <w:gridCol w:w="6912"/>
      </w:tblGrid>
      <w:tr w:rsidTr="00894ABD" w:rsidR="00894ABD" w:rsidRPr="00894ABD">
        <w:trPr>
          <w:trHeight w:val="2358"/>
        </w:trPr>
        <w:tc>
          <w:tcPr>
            <w:tcW w:type="dxa" w:w="6912"/>
            <w:tcMar>
              <w:top w:type="dxa" w:w="0"/>
              <w:left w:type="dxa" w:w="108"/>
              <w:bottom w:type="dxa" w:w="0"/>
              <w:right w:type="dxa" w:w="108"/>
            </w:tcMar>
          </w:tcPr>
          <w:p w:rsidRDefault="00894ABD" w:rsidP="00894ABD" w:rsidR="00894ABD" w:rsidRPr="00894ABD">
            <w:pPr>
              <w:spacing w:after="0"/>
              <w:rPr>
                <w:rFonts w:cs="Times New Roman" w:eastAsia="Times New Roman" w:hAnsi="Times New Roman" w:ascii="Times New Roman"/>
                <w:noProof/>
                <w:sz w:val="24"/>
                <w:szCs w:val="24"/>
              </w:rPr>
            </w:pPr>
            <w:r>
              <w:rPr>
                <w:rFonts w:cs="Times New Roman" w:eastAsia="Times New Roman" w:hAnsi="Times New Roman" w:ascii="Times New Roman"/>
                <w:noProof/>
                <w:sz w:val="24"/>
                <w:szCs w:val="24"/>
                <w:lang w:eastAsia="hr-HR"/>
              </w:rPr>
              <w:t xml:space="preserve">                                    </w:t>
            </w:r>
            <w:r w:rsidRPr="00894ABD">
              <w:rPr>
                <w:rFonts w:cs="Times New Roman" w:eastAsia="Times New Roman" w:hAnsi="Times New Roman" w:ascii="Times New Roman"/>
                <w:noProof/>
                <w:sz w:val="24"/>
                <w:szCs w:val="24"/>
                <w:lang w:eastAsia="hr-HR"/>
              </w:rPr>
              <w:drawing>
                <wp:inline distR="0" distL="0" distB="0" distT="0">
                  <wp:extent cy="723265" cx="580390"/>
                  <wp:effectExtent b="635"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94ABD" w:rsidP="00894ABD" w:rsidR="00894ABD">
            <w:pPr>
              <w:spacing w:after="0"/>
              <w:rPr>
                <w:rFonts w:cs="Times New Roman" w:eastAsia="Times New Roman" w:hAnsi="Times New Roman" w:ascii="Times New Roman"/>
                <w:noProof/>
                <w:sz w:val="24"/>
                <w:szCs w:val="24"/>
              </w:rPr>
            </w:pPr>
            <w:r>
              <w:rPr>
                <w:rFonts w:cs="Times New Roman" w:eastAsia="Times New Roman" w:hAnsi="Times New Roman" w:ascii="Times New Roman"/>
                <w:noProof/>
                <w:sz w:val="24"/>
                <w:szCs w:val="24"/>
              </w:rPr>
              <w:t xml:space="preserve">                       REPUBLIKA HRVATSKA</w:t>
            </w:r>
          </w:p>
          <w:p w:rsidRDefault="00894ABD" w:rsidP="00894ABD" w:rsidR="00894ABD">
            <w:pPr>
              <w:spacing w:after="0"/>
              <w:ind w:right="-2962"/>
              <w:rPr>
                <w:rFonts w:cs="Times New Roman" w:eastAsia="Times New Roman" w:hAnsi="Times New Roman" w:ascii="Times New Roman"/>
                <w:noProof/>
                <w:sz w:val="24"/>
                <w:szCs w:val="24"/>
              </w:rPr>
            </w:pPr>
            <w:r>
              <w:rPr>
                <w:rFonts w:cs="Times New Roman" w:eastAsia="Times New Roman" w:hAnsi="Times New Roman" w:ascii="Times New Roman"/>
                <w:noProof/>
                <w:sz w:val="24"/>
                <w:szCs w:val="24"/>
              </w:rPr>
              <w:t>VISOKI TRGOVAČKI SUD REPUBLIKE HRVATSKE</w:t>
            </w:r>
          </w:p>
          <w:p w:rsidRDefault="00894ABD" w:rsidP="00894ABD" w:rsidR="00894ABD" w:rsidRPr="00894ABD">
            <w:pPr>
              <w:spacing w:after="0"/>
              <w:ind w:right="-2962"/>
              <w:rPr>
                <w:rFonts w:cs="Times New Roman" w:eastAsia="Times New Roman" w:hAnsi="Times New Roman" w:ascii="Times New Roman"/>
                <w:noProof/>
                <w:sz w:val="24"/>
                <w:szCs w:val="24"/>
              </w:rPr>
            </w:pPr>
            <w:r>
              <w:rPr>
                <w:rFonts w:cs="Times New Roman" w:eastAsia="Times New Roman" w:hAnsi="Times New Roman" w:ascii="Times New Roman"/>
                <w:noProof/>
                <w:sz w:val="24"/>
                <w:szCs w:val="24"/>
              </w:rPr>
              <w:t xml:space="preserve">                                    Z A G R E B</w:t>
            </w:r>
          </w:p>
          <w:p w:rsidRDefault="00894ABD" w:rsidP="00894ABD" w:rsidR="00894ABD" w:rsidRPr="00894ABD">
            <w:pPr>
              <w:spacing w:after="0"/>
              <w:jc w:val="center"/>
              <w:rPr>
                <w:rFonts w:cs="Times New Roman" w:eastAsia="Times New Roman" w:hAnsi="Times New Roman" w:ascii="Times New Roman"/>
                <w:noProof/>
                <w:sz w:val="24"/>
                <w:szCs w:val="24"/>
              </w:rPr>
            </w:pPr>
          </w:p>
        </w:tc>
      </w:tr>
    </w:tbl>
    <w:p w:rsidRDefault="00894ABD" w:rsidP="00894ABD" w:rsidR="00894ABD" w:rsidRPr="00894ABD">
      <w:pPr>
        <w:spacing w:lineRule="auto" w:line="240" w:after="0"/>
        <w:jc w:val="right"/>
        <w:rPr>
          <w:rFonts w:cs="Times New Roman" w:eastAsia="Times New Roman" w:hAnsi="Times New Roman" w:ascii="Times New Roman"/>
          <w:noProof/>
          <w:sz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pPr>
        <w:spacing w:lineRule="auto" w:line="240" w:after="0"/>
        <w:jc w:val="center"/>
        <w:rPr>
          <w:rFonts w:cs="Times New Roman" w:eastAsia="Calibri" w:hAnsi="Times New Roman" w:ascii="Times New Roman"/>
          <w:b/>
          <w:sz w:val="24"/>
          <w:szCs w:val="24"/>
        </w:rPr>
      </w:pPr>
    </w:p>
    <w:p w:rsidRDefault="00894ABD" w:rsidP="00894ABD" w:rsidR="00894ABD">
      <w:pPr>
        <w:spacing w:lineRule="auto" w:line="240" w:after="0"/>
        <w:jc w:val="center"/>
        <w:rPr>
          <w:rFonts w:cs="Times New Roman" w:eastAsia="Calibri" w:hAnsi="Times New Roman" w:ascii="Times New Roman"/>
          <w:b/>
          <w:sz w:val="24"/>
          <w:szCs w:val="24"/>
        </w:rPr>
      </w:pPr>
    </w:p>
    <w:p w:rsidRDefault="00894ABD" w:rsidP="00894ABD" w:rsidR="00894ABD">
      <w:pPr>
        <w:spacing w:lineRule="auto" w:line="240" w:after="0"/>
        <w:jc w:val="center"/>
        <w:rPr>
          <w:rFonts w:cs="Times New Roman" w:eastAsia="Calibri" w:hAnsi="Times New Roman" w:ascii="Times New Roman"/>
          <w:b/>
          <w:sz w:val="24"/>
          <w:szCs w:val="24"/>
        </w:rPr>
      </w:pPr>
    </w:p>
    <w:p w:rsidRDefault="00894ABD" w:rsidP="00894ABD" w:rsidR="00894ABD">
      <w:pPr>
        <w:spacing w:lineRule="auto" w:line="240" w:after="0"/>
        <w:jc w:val="center"/>
        <w:rPr>
          <w:rFonts w:cs="Times New Roman" w:eastAsia="Calibri" w:hAnsi="Times New Roman" w:ascii="Times New Roman"/>
          <w:b/>
          <w:sz w:val="24"/>
          <w:szCs w:val="24"/>
        </w:rPr>
      </w:pPr>
    </w:p>
    <w:p w:rsidRDefault="00894ABD" w:rsidP="00894ABD" w:rsidR="00894ABD" w:rsidRPr="00894ABD">
      <w:pPr>
        <w:spacing w:lineRule="auto" w:line="240" w:after="0"/>
        <w:jc w:val="center"/>
        <w:rPr>
          <w:rFonts w:cs="Times New Roman" w:eastAsia="Calibri" w:hAnsi="Times New Roman" w:ascii="Times New Roman"/>
          <w:b/>
          <w:sz w:val="24"/>
          <w:szCs w:val="24"/>
        </w:rPr>
      </w:pPr>
      <w:r w:rsidRPr="00894ABD">
        <w:rPr>
          <w:rFonts w:cs="Times New Roman" w:eastAsia="Calibri" w:hAnsi="Times New Roman" w:ascii="Times New Roman"/>
          <w:b/>
          <w:sz w:val="24"/>
          <w:szCs w:val="24"/>
        </w:rPr>
        <w:t>U   I M E   R E P U B L I K E   H R V A T S K E</w:t>
      </w:r>
    </w:p>
    <w:p w:rsidRDefault="00894ABD" w:rsidP="00894ABD" w:rsidR="00894ABD" w:rsidRPr="00894ABD">
      <w:pPr>
        <w:spacing w:lineRule="auto" w:line="240" w:after="0"/>
        <w:jc w:val="center"/>
        <w:rPr>
          <w:rFonts w:cs="Times New Roman" w:eastAsia="Calibri" w:hAnsi="Times New Roman" w:ascii="Times New Roman"/>
          <w:b/>
          <w:sz w:val="24"/>
          <w:szCs w:val="24"/>
        </w:rPr>
      </w:pPr>
    </w:p>
    <w:p w:rsidRDefault="00894ABD" w:rsidP="00894ABD" w:rsidR="00894ABD" w:rsidRPr="00894ABD">
      <w:pPr>
        <w:spacing w:lineRule="auto" w:line="240" w:after="0"/>
        <w:jc w:val="center"/>
        <w:rPr>
          <w:rFonts w:cs="Times New Roman" w:eastAsia="Calibri" w:hAnsi="Times New Roman" w:ascii="Times New Roman"/>
          <w:b/>
          <w:sz w:val="24"/>
          <w:szCs w:val="24"/>
        </w:rPr>
      </w:pPr>
      <w:r w:rsidRPr="00894ABD">
        <w:rPr>
          <w:rFonts w:cs="Times New Roman" w:eastAsia="Calibri" w:hAnsi="Times New Roman" w:ascii="Times New Roman"/>
          <w:b/>
          <w:sz w:val="24"/>
          <w:szCs w:val="24"/>
        </w:rPr>
        <w:t>R J E Š E NJ E</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 xml:space="preserve">Visoki trgovački sud Republike Hrvatske, po sucu pojedincu Tatjani </w:t>
      </w:r>
      <w:proofErr w:type="spellStart"/>
      <w:r w:rsidRPr="00894ABD">
        <w:rPr>
          <w:rFonts w:cs="Times New Roman" w:eastAsia="Calibri" w:hAnsi="Times New Roman" w:ascii="Times New Roman"/>
          <w:sz w:val="24"/>
          <w:szCs w:val="24"/>
        </w:rPr>
        <w:t>Kujundžić</w:t>
      </w:r>
      <w:proofErr w:type="spellEnd"/>
      <w:r w:rsidRPr="00894ABD">
        <w:rPr>
          <w:rFonts w:cs="Times New Roman" w:eastAsia="Calibri" w:hAnsi="Times New Roman" w:ascii="Times New Roman"/>
          <w:sz w:val="24"/>
          <w:szCs w:val="24"/>
        </w:rPr>
        <w:t xml:space="preserve"> Novak, u postupku za sklapanje predstečajne nagodbe nad dužnikom AUTO-BRKI d.o.o. za trgovinu i usluge, OIB 49553987203, Zaprešić, Zagrebačka 11, Šibice, odlučujući o žalbi vjerovnika OLJA GTO d.o.o. OIB 57471993716, </w:t>
      </w:r>
      <w:proofErr w:type="spellStart"/>
      <w:r w:rsidRPr="00894ABD">
        <w:rPr>
          <w:rFonts w:cs="Times New Roman" w:eastAsia="Calibri" w:hAnsi="Times New Roman" w:ascii="Times New Roman"/>
          <w:sz w:val="24"/>
          <w:szCs w:val="24"/>
        </w:rPr>
        <w:t>Brežice</w:t>
      </w:r>
      <w:proofErr w:type="spellEnd"/>
      <w:r w:rsidRPr="00894ABD">
        <w:rPr>
          <w:rFonts w:cs="Times New Roman" w:eastAsia="Calibri" w:hAnsi="Times New Roman" w:ascii="Times New Roman"/>
          <w:sz w:val="24"/>
          <w:szCs w:val="24"/>
        </w:rPr>
        <w:t xml:space="preserve">, </w:t>
      </w:r>
      <w:proofErr w:type="spellStart"/>
      <w:r w:rsidRPr="00894ABD">
        <w:rPr>
          <w:rFonts w:cs="Times New Roman" w:eastAsia="Calibri" w:hAnsi="Times New Roman" w:ascii="Times New Roman"/>
          <w:sz w:val="24"/>
          <w:szCs w:val="24"/>
        </w:rPr>
        <w:t>Mladinska</w:t>
      </w:r>
      <w:proofErr w:type="spellEnd"/>
      <w:r w:rsidRPr="00894ABD">
        <w:rPr>
          <w:rFonts w:cs="Times New Roman" w:eastAsia="Calibri" w:hAnsi="Times New Roman" w:ascii="Times New Roman"/>
          <w:sz w:val="24"/>
          <w:szCs w:val="24"/>
        </w:rPr>
        <w:t xml:space="preserve"> ulica 5, Republika Slovenija, kojeg zastupa punomoćnik Tomislav </w:t>
      </w:r>
      <w:proofErr w:type="spellStart"/>
      <w:r w:rsidRPr="00894ABD">
        <w:rPr>
          <w:rFonts w:cs="Times New Roman" w:eastAsia="Calibri" w:hAnsi="Times New Roman" w:ascii="Times New Roman"/>
          <w:sz w:val="24"/>
          <w:szCs w:val="24"/>
        </w:rPr>
        <w:t>Dumenčić</w:t>
      </w:r>
      <w:proofErr w:type="spellEnd"/>
      <w:r w:rsidRPr="00894ABD">
        <w:rPr>
          <w:rFonts w:cs="Times New Roman" w:eastAsia="Calibri" w:hAnsi="Times New Roman" w:ascii="Times New Roman"/>
          <w:sz w:val="24"/>
          <w:szCs w:val="24"/>
        </w:rPr>
        <w:t>, odvjetnik u Zagrebu, protiv rješenja Trgovačkog suda u Zagrebu poslovni broj St-228/17-11 od 12. srpnja 2017., 10. listopada 2017.</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center"/>
        <w:rPr>
          <w:rFonts w:cs="Times New Roman" w:eastAsia="Calibri" w:hAnsi="Times New Roman" w:ascii="Times New Roman"/>
          <w:sz w:val="24"/>
          <w:szCs w:val="24"/>
        </w:rPr>
      </w:pPr>
      <w:r w:rsidRPr="00894ABD">
        <w:rPr>
          <w:rFonts w:cs="Times New Roman" w:eastAsia="Calibri" w:hAnsi="Times New Roman" w:ascii="Times New Roman"/>
          <w:sz w:val="24"/>
          <w:szCs w:val="24"/>
        </w:rPr>
        <w:t>r i j e š i o   j e</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 xml:space="preserve">Odbija se kao neosnovana žalba vjerovnika Olja </w:t>
      </w:r>
      <w:proofErr w:type="spellStart"/>
      <w:r w:rsidRPr="00894ABD">
        <w:rPr>
          <w:rFonts w:cs="Times New Roman" w:eastAsia="Calibri" w:hAnsi="Times New Roman" w:ascii="Times New Roman"/>
          <w:sz w:val="24"/>
          <w:szCs w:val="24"/>
        </w:rPr>
        <w:t>Gto</w:t>
      </w:r>
      <w:proofErr w:type="spellEnd"/>
      <w:r w:rsidRPr="00894ABD">
        <w:rPr>
          <w:rFonts w:cs="Times New Roman" w:eastAsia="Calibri" w:hAnsi="Times New Roman" w:ascii="Times New Roman"/>
          <w:sz w:val="24"/>
          <w:szCs w:val="24"/>
        </w:rPr>
        <w:t xml:space="preserve"> d.o.o. iz </w:t>
      </w:r>
      <w:proofErr w:type="spellStart"/>
      <w:r w:rsidRPr="00894ABD">
        <w:rPr>
          <w:rFonts w:cs="Times New Roman" w:eastAsia="Calibri" w:hAnsi="Times New Roman" w:ascii="Times New Roman"/>
          <w:sz w:val="24"/>
          <w:szCs w:val="24"/>
        </w:rPr>
        <w:t>Brežica</w:t>
      </w:r>
      <w:proofErr w:type="spellEnd"/>
      <w:r w:rsidRPr="00894ABD">
        <w:rPr>
          <w:rFonts w:cs="Times New Roman" w:eastAsia="Calibri" w:hAnsi="Times New Roman" w:ascii="Times New Roman"/>
          <w:sz w:val="24"/>
          <w:szCs w:val="24"/>
        </w:rPr>
        <w:t>, i potvrđuje rješenje Trgovačkog suda u Zagrebu poslovni broj St-228/17-11 od 12. srpnja 2017.</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center"/>
        <w:rPr>
          <w:rFonts w:cs="Times New Roman" w:eastAsia="Calibri" w:hAnsi="Times New Roman" w:ascii="Times New Roman"/>
          <w:sz w:val="24"/>
          <w:szCs w:val="24"/>
        </w:rPr>
      </w:pPr>
      <w:r w:rsidRPr="00894ABD">
        <w:rPr>
          <w:rFonts w:cs="Times New Roman" w:eastAsia="Calibri" w:hAnsi="Times New Roman" w:ascii="Times New Roman"/>
          <w:sz w:val="24"/>
          <w:szCs w:val="24"/>
        </w:rPr>
        <w:t>Obrazloženje</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Rješenjem Trgovačkog suda u Zagrebu poslovni broj St-228/17-11 od 12. srpnja 2017., odobrena je predstečajna nagodba sklopljena između dužnika Auto-</w:t>
      </w:r>
      <w:proofErr w:type="spellStart"/>
      <w:r w:rsidRPr="00894ABD">
        <w:rPr>
          <w:rFonts w:cs="Times New Roman" w:eastAsia="Calibri" w:hAnsi="Times New Roman" w:ascii="Times New Roman"/>
          <w:sz w:val="24"/>
          <w:szCs w:val="24"/>
        </w:rPr>
        <w:t>Brki</w:t>
      </w:r>
      <w:proofErr w:type="spellEnd"/>
      <w:r w:rsidRPr="00894ABD">
        <w:rPr>
          <w:rFonts w:cs="Times New Roman" w:eastAsia="Calibri" w:hAnsi="Times New Roman" w:ascii="Times New Roman"/>
          <w:sz w:val="24"/>
          <w:szCs w:val="24"/>
        </w:rPr>
        <w:t xml:space="preserve"> d.o.o. za trgovinu i usluge, OIB 49553987203 Zaprešić, Zagrebačka 11, Šibice, i vjerovnika navedenih u izreci pobijanog rješenja, kojom je određeno namirenje njihovih utvrđenih tražbina, na način kako je to navedeno u rješenju. </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Iz obrazloženja proizlazi da je prvostupanjski sud na temelju dostavljenih isprava utvrdio da su ispunjene pretpostavke za sklapanje predstečajne nagodbe i da su na ročištu za sklapanje predstečajne nagodbe 12. srpnja 2017. svoj pristanak dali dužnik i vjerovnici koji su prihvatili Plan financijskog restrukturiranja dužnika a čije tražbine čine potrebnu većinu iz čl. 63. Zakona o financijskom poslovanju i predstečajnoj nagodbi („Narodne novine“ broj 108/12, 144/12, 81/13 i 112/13; dalje: ZFPPN-a).</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ab/>
        <w:t xml:space="preserve">Protiv rješenja žalbu je podnio vjerovnik Olja </w:t>
      </w:r>
      <w:proofErr w:type="spellStart"/>
      <w:r w:rsidRPr="00894ABD">
        <w:rPr>
          <w:rFonts w:cs="Times New Roman" w:eastAsia="Calibri" w:hAnsi="Times New Roman" w:ascii="Times New Roman"/>
          <w:sz w:val="24"/>
          <w:szCs w:val="24"/>
        </w:rPr>
        <w:t>Gto</w:t>
      </w:r>
      <w:proofErr w:type="spellEnd"/>
      <w:r w:rsidRPr="00894ABD">
        <w:rPr>
          <w:rFonts w:cs="Times New Roman" w:eastAsia="Calibri" w:hAnsi="Times New Roman" w:ascii="Times New Roman"/>
          <w:sz w:val="24"/>
          <w:szCs w:val="24"/>
        </w:rPr>
        <w:t xml:space="preserve"> d.o.o. iz </w:t>
      </w:r>
      <w:proofErr w:type="spellStart"/>
      <w:r w:rsidRPr="00894ABD">
        <w:rPr>
          <w:rFonts w:cs="Times New Roman" w:eastAsia="Calibri" w:hAnsi="Times New Roman" w:ascii="Times New Roman"/>
          <w:sz w:val="24"/>
          <w:szCs w:val="24"/>
        </w:rPr>
        <w:t>Brežica</w:t>
      </w:r>
      <w:proofErr w:type="spellEnd"/>
      <w:r w:rsidRPr="00894ABD">
        <w:rPr>
          <w:rFonts w:cs="Times New Roman" w:eastAsia="Calibri" w:hAnsi="Times New Roman" w:ascii="Times New Roman"/>
          <w:sz w:val="24"/>
          <w:szCs w:val="24"/>
        </w:rPr>
        <w:t xml:space="preserve"> zbog pogrešno i nepotpuno utvrđenog činjeničnog stanja i pogrešne primjene materijalnog prava. U bitnome navodi da je s vjerovnikom </w:t>
      </w:r>
      <w:proofErr w:type="spellStart"/>
      <w:r w:rsidRPr="00894ABD">
        <w:rPr>
          <w:rFonts w:cs="Times New Roman" w:eastAsia="Calibri" w:hAnsi="Times New Roman" w:ascii="Times New Roman"/>
          <w:sz w:val="24"/>
          <w:szCs w:val="24"/>
        </w:rPr>
        <w:t>N.T</w:t>
      </w:r>
      <w:proofErr w:type="spellEnd"/>
      <w:r w:rsidRPr="00894ABD">
        <w:rPr>
          <w:rFonts w:cs="Times New Roman" w:eastAsia="Calibri" w:hAnsi="Times New Roman" w:ascii="Times New Roman"/>
          <w:sz w:val="24"/>
          <w:szCs w:val="24"/>
        </w:rPr>
        <w:t xml:space="preserve">. Maziva d.o.o. OIB 09358256494, čija je tražbina utvrđena u </w:t>
      </w:r>
      <w:r w:rsidRPr="00894ABD">
        <w:rPr>
          <w:rFonts w:cs="Times New Roman" w:eastAsia="Calibri" w:hAnsi="Times New Roman" w:ascii="Times New Roman"/>
          <w:sz w:val="24"/>
          <w:szCs w:val="24"/>
        </w:rPr>
        <w:lastRenderedPageBreak/>
        <w:t xml:space="preserve">postupku predstečajne nagodbe sklopio Ugovor o ustupu potraživanja 2. ožujka 2017., o čemu je dopisom 7. ožujka 2017. obavijestio Financijsku agenciju i dužnika. Navodi kako u obrazloženju pobijanog rješenja nisu navedeni razlozi zbog čega nije došlo do izmjene predstečajne nagodbe na način da se umjesto </w:t>
      </w:r>
      <w:proofErr w:type="spellStart"/>
      <w:r w:rsidRPr="00894ABD">
        <w:rPr>
          <w:rFonts w:cs="Times New Roman" w:eastAsia="Calibri" w:hAnsi="Times New Roman" w:ascii="Times New Roman"/>
          <w:sz w:val="24"/>
          <w:szCs w:val="24"/>
        </w:rPr>
        <w:t>N.T</w:t>
      </w:r>
      <w:proofErr w:type="spellEnd"/>
      <w:r w:rsidRPr="00894ABD">
        <w:rPr>
          <w:rFonts w:cs="Times New Roman" w:eastAsia="Calibri" w:hAnsi="Times New Roman" w:ascii="Times New Roman"/>
          <w:sz w:val="24"/>
          <w:szCs w:val="24"/>
        </w:rPr>
        <w:t xml:space="preserve">. Maziva d.o.o. kao vjerovnika navede Olja </w:t>
      </w:r>
      <w:proofErr w:type="spellStart"/>
      <w:r w:rsidRPr="00894ABD">
        <w:rPr>
          <w:rFonts w:cs="Times New Roman" w:eastAsia="Calibri" w:hAnsi="Times New Roman" w:ascii="Times New Roman"/>
          <w:sz w:val="24"/>
          <w:szCs w:val="24"/>
        </w:rPr>
        <w:t>Gto</w:t>
      </w:r>
      <w:proofErr w:type="spellEnd"/>
      <w:r w:rsidRPr="00894ABD">
        <w:rPr>
          <w:rFonts w:cs="Times New Roman" w:eastAsia="Calibri" w:hAnsi="Times New Roman" w:ascii="Times New Roman"/>
          <w:sz w:val="24"/>
          <w:szCs w:val="24"/>
        </w:rPr>
        <w:t xml:space="preserve"> d.o.o., pa je rješenje utemeljeno na nepotpuno utvrđenom činjeničnom stanju. Predlaže preinačiti pobijano rješenje uz naknadu troška sastava žalbe, </w:t>
      </w:r>
      <w:proofErr w:type="spellStart"/>
      <w:r w:rsidRPr="00894ABD">
        <w:rPr>
          <w:rFonts w:cs="Times New Roman" w:eastAsia="Calibri" w:hAnsi="Times New Roman" w:ascii="Times New Roman"/>
          <w:sz w:val="24"/>
          <w:szCs w:val="24"/>
        </w:rPr>
        <w:t>podredno</w:t>
      </w:r>
      <w:proofErr w:type="spellEnd"/>
      <w:r w:rsidRPr="00894ABD">
        <w:rPr>
          <w:rFonts w:cs="Times New Roman" w:eastAsia="Calibri" w:hAnsi="Times New Roman" w:ascii="Times New Roman"/>
          <w:sz w:val="24"/>
          <w:szCs w:val="24"/>
        </w:rPr>
        <w:t xml:space="preserve"> ukinuti i predmet vratiti na ponovan postupak.</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ab/>
        <w:t>Žalba nije osnovana.</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Ispitujući pobijano rješenje na temelju odredbe članka 365. stavak 2. Zakona o parničnom postupku („Narodne novine“ broj 53/91, 91/92, 58/93, 112/99, 129/00, 88/01, 117/03, 88/05, 2/07, 84/08, 123/08, 57/11, 25/13 i 89/14; dalje: ZPP), u vezi s odredbom članka 66. stavak 15. Zakona o financijskom poslovanju i predstečajnoj nagodbi u granicama razloga navedenih u žalbi, pazeći pri tome po službenoj dužnosti na bitne povrede odredaba parničnog postupka iz članka 354. stavak 2. točke 2., 4., 8., 9., 11., 13. i 14. ZPP-a, kao i na pravilnu primjenu materijalnog prava, ovaj sud nalazi da je pobijano rješenje pravilno i zakonito.</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ab/>
        <w:t>U postupanju prvostupanjskog suda nema bitnih povreda odredaba postupka, pobijana odluka ima valjano obrazloženje iz kojeg je jasno na kojim je zaključcima prvostupanjski sud utemeljio svoju odluku. Prvostupanjski je sud proveo savjesnu i brižljivu ocjenu isprava te na temelju rezultata postupka odlučio o prijedlogu.</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Iz podataka u spisu proizlazi da je dužnik Auto-</w:t>
      </w:r>
      <w:proofErr w:type="spellStart"/>
      <w:r w:rsidRPr="00894ABD">
        <w:rPr>
          <w:rFonts w:cs="Times New Roman" w:eastAsia="Calibri" w:hAnsi="Times New Roman" w:ascii="Times New Roman"/>
          <w:sz w:val="24"/>
          <w:szCs w:val="24"/>
        </w:rPr>
        <w:t>Brki</w:t>
      </w:r>
      <w:proofErr w:type="spellEnd"/>
      <w:r w:rsidRPr="00894ABD">
        <w:rPr>
          <w:rFonts w:cs="Times New Roman" w:eastAsia="Calibri" w:hAnsi="Times New Roman" w:ascii="Times New Roman"/>
          <w:sz w:val="24"/>
          <w:szCs w:val="24"/>
        </w:rPr>
        <w:t xml:space="preserve"> d.o.o prvostupanjskom sudu 23. siječnja 2017. podnio prijedlog za sklapanje predstečajne nagodbe, a nakon što je pred Financijskom agencijom ishodio rješenje Klasa: UP/I-110-07/15-01/8568, </w:t>
      </w:r>
      <w:proofErr w:type="spellStart"/>
      <w:r w:rsidRPr="00894ABD">
        <w:rPr>
          <w:rFonts w:cs="Times New Roman" w:eastAsia="Calibri" w:hAnsi="Times New Roman" w:ascii="Times New Roman"/>
          <w:sz w:val="24"/>
          <w:szCs w:val="24"/>
        </w:rPr>
        <w:t>Ur</w:t>
      </w:r>
      <w:proofErr w:type="spellEnd"/>
      <w:r w:rsidRPr="00894ABD">
        <w:rPr>
          <w:rFonts w:cs="Times New Roman" w:eastAsia="Calibri" w:hAnsi="Times New Roman" w:ascii="Times New Roman"/>
          <w:sz w:val="24"/>
          <w:szCs w:val="24"/>
        </w:rPr>
        <w:t>. broj: 04-06-16-8568-106 od 6. listopada 2016., sukladno odredbi članka 60. ZFPPN-a i to po provedenom postupku pred FINA-om propisanim odredbama navedenog Zakona u kojem postupku su dužnikovi vjerovnici prihvatili izmijenjeni plan financijskog restrukturiranja predložen od dužnika. Rješenje je postalo izvršno 13. siječnja 2017.</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ab/>
        <w:t>Nakon što je udovoljeno kumulativno propisanim uvjetima iz članka 66. stavak 3. ZFPPN-a (tj. nakon što je dužnik priložio isprave i elektroničkim putem elemente nacrta predstečajne nagodbe iz članka 46.a ZFPPN-a, a koji prijedlog odgovara sadržaju plana izmijenjenog financijskog i operativnog restrukturiranja prihvaćenog pred nagodbenim vijećem i nacrtu, a što je utvrđeno uvidom na internetske stranice FINA-e), sud je na temelju odredbe članka 66. stavak 5. ZFPPN-a odredio ročište za sklapanje predstečajne nagodbe na koje su pozvani dužnik i njegovi vjerovnici, sukladno članku 66. stavak 7. i 8. ZFPPN-a. Oglas je objavljen na stranicama FINA-e 16. lipnja 2017. u 10 i 49 sati, i na e-Oglasnoj ploči suda 8. lipnja 2017. u 10 i 33 sati.</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ab/>
        <w:t>Odredba članka 66. stavak 9. ZFPPN-a propisuje da će sud rješenjem odobriti sklapanje predstečajne nagodbe ako su na ročištu za sklapanje predstečajne nagodbe svoj pristanak dali dužnik i vjerovnici čije tražbine čine potrebnu većinu iz članka 63. ZFPPN-a, te ako utvrdi da je sadržaj predložene nagodbe u skladu s općim pravilima o sudskoj nagodbi, te da je njezin sadržaj u bitnim sastojcima odgovarajući prihvaćenom (izmijenjenom) planu financijskog i operativnog restrukturiranja dužnika.</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lastRenderedPageBreak/>
        <w:tab/>
        <w:t xml:space="preserve">Iz zapisnika s ročišta održanog 12. srpnja 2017. proizlazi da je svoj pristanak dao dužnik i vjerovnici čije tražbine prelaze 2/3 vrijednosti svih utvrđenih tražbina, koji su prihvatili izmijenjeni plan financijskog restrukturiranja, dakle, vjerovnici čije tražbine čine potrebnu većinu iz članka 63. ZFPPN-a, a koji su u znak suglasnosti potpisali zapisnik pred sucem. Osim toga sadržaj predložene nagodbe je u skladu s općim pravilima o sudskoj nagodbi, te njezin sadržaj u bitnim sastojcima odgovarajući prihvaćenom (izmijenjenom) planu financijskog i operativnog restrukturiranja dužnika. </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Stoga je prvostupanjski sud pravilno zaključio da su u konkretnom slučaju ispunjene sve zakonom određene pretpostavke na temelju kojih sud dopušta sklapanje predstečajne nagodbe, pa su neosnovani žalbeni navodi kako je sud pogrešno utvrdio činjenično stanje i pogrešno primijenio odredbe Zakona o financijskom poslovanju i predstečajnoj nagodbi.</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 xml:space="preserve">Žalbeni navod da je s vjerovnikom </w:t>
      </w:r>
      <w:proofErr w:type="spellStart"/>
      <w:r w:rsidRPr="00894ABD">
        <w:rPr>
          <w:rFonts w:cs="Times New Roman" w:eastAsia="Calibri" w:hAnsi="Times New Roman" w:ascii="Times New Roman"/>
          <w:sz w:val="24"/>
          <w:szCs w:val="24"/>
        </w:rPr>
        <w:t>N.T</w:t>
      </w:r>
      <w:proofErr w:type="spellEnd"/>
      <w:r w:rsidRPr="00894ABD">
        <w:rPr>
          <w:rFonts w:cs="Times New Roman" w:eastAsia="Calibri" w:hAnsi="Times New Roman" w:ascii="Times New Roman"/>
          <w:sz w:val="24"/>
          <w:szCs w:val="24"/>
        </w:rPr>
        <w:t>. Maziva d.o.o., OIB 09358256494, čija je tražbina utvrđena u postupku predstečajne nagodbe sklopio Ugovor o ustupu potraživanja 2. ožujka 2017., žalitelj prvi put navodi u žalbi, a prema odredbama člankom 352. ZPP-a u vezi s člankom 66. stavak 15. ZFPPN-a, u žalbi se ne mogu iznositi nove činjenice i predlagati novi dokazi, osim ako se ne odnose na bitne povrede odredaba postupka zbog kojih se žalba može izjaviti, a što ovdje nije slučaj.</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 xml:space="preserve">Također je neosnovan žalbeni navod da je rješenje utemeljeno na nepotpuno utvrđenom činjeničnom stanju, jer u obrazloženju pobijanog rješenja nisu navedeni razlozi zbog čega nije došlo do izmjene predstečajne nagodbe na način da se umjesto </w:t>
      </w:r>
      <w:proofErr w:type="spellStart"/>
      <w:r w:rsidRPr="00894ABD">
        <w:rPr>
          <w:rFonts w:cs="Times New Roman" w:eastAsia="Calibri" w:hAnsi="Times New Roman" w:ascii="Times New Roman"/>
          <w:sz w:val="24"/>
          <w:szCs w:val="24"/>
        </w:rPr>
        <w:t>N.T</w:t>
      </w:r>
      <w:proofErr w:type="spellEnd"/>
      <w:r w:rsidRPr="00894ABD">
        <w:rPr>
          <w:rFonts w:cs="Times New Roman" w:eastAsia="Calibri" w:hAnsi="Times New Roman" w:ascii="Times New Roman"/>
          <w:sz w:val="24"/>
          <w:szCs w:val="24"/>
        </w:rPr>
        <w:t xml:space="preserve">. Maziva d.o.o. kao vjerovnika navede Olja </w:t>
      </w:r>
      <w:proofErr w:type="spellStart"/>
      <w:r w:rsidRPr="00894ABD">
        <w:rPr>
          <w:rFonts w:cs="Times New Roman" w:eastAsia="Calibri" w:hAnsi="Times New Roman" w:ascii="Times New Roman"/>
          <w:sz w:val="24"/>
          <w:szCs w:val="24"/>
        </w:rPr>
        <w:t>Gto</w:t>
      </w:r>
      <w:proofErr w:type="spellEnd"/>
      <w:r w:rsidRPr="00894ABD">
        <w:rPr>
          <w:rFonts w:cs="Times New Roman" w:eastAsia="Calibri" w:hAnsi="Times New Roman" w:ascii="Times New Roman"/>
          <w:sz w:val="24"/>
          <w:szCs w:val="24"/>
        </w:rPr>
        <w:t xml:space="preserve"> d.o.o.</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Naime, da se žalitelj s Ugovorom o ustupu potraživanja od 2. ožujka 2017., javio u postupak pred sudom i došao na ročište 12. srpnja 2017. (radi sklapanja predstečajne nagodbe) na koje je uredno pozvan kao i svi ostali vjerovnici putem e-Oglasne ploče suda 8. lipnja 2017. u 10 i 33 sati i oglasom objavljenim na stranicama FINA-e 16. lipnja 2017. u 10 i 49 sati, u toj fazi postupka sud je mogao tražiti od dužnika ispravak prijedloga (nacrta) nagodbe i odobriti nagodbu u odnosu na njega kao vjerovnika, međutim to nije učinio. Činjenica da je o ustupljenom potraživanju obavijestio FINA-u nije od utjecaja na zakonitost pobijanog rješenja.</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Slijedom iznijetog pobijano rješenje valjalo je potvrditi primjenom odredbe članka 380. točka 2. ZPP-a u vezi s odredbom članka 66. stavak 15. ZFPPN-a.</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firstLine="708"/>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Skreće se pozornost žalitelju s obzirom na to da ima javno ovjerovljenu ispravu (broj OV-1820/17 od 2. ožujka 2017.) da svoje pravo može ostvariti uz primjenu odredbe iz članka 32. stavak 1. Ovršnog zakona („Narodne novine“ broj 112/12, 25/13, 93/14, 55/16 i 73/17; dalje: OZ)</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jc w:val="center"/>
        <w:rPr>
          <w:rFonts w:cs="Times New Roman" w:eastAsia="Calibri" w:hAnsi="Times New Roman" w:ascii="Times New Roman"/>
          <w:sz w:val="24"/>
          <w:szCs w:val="24"/>
        </w:rPr>
      </w:pPr>
      <w:r w:rsidRPr="00894ABD">
        <w:rPr>
          <w:rFonts w:cs="Times New Roman" w:eastAsia="Calibri" w:hAnsi="Times New Roman" w:ascii="Times New Roman"/>
          <w:sz w:val="24"/>
          <w:szCs w:val="24"/>
        </w:rPr>
        <w:t>U Zagrebu 10. listopada 2017.</w:t>
      </w:r>
    </w:p>
    <w:p w:rsidRDefault="00894ABD" w:rsidP="00894ABD" w:rsidR="00894ABD" w:rsidRPr="00894ABD">
      <w:pPr>
        <w:spacing w:lineRule="auto" w:line="240" w:after="0"/>
        <w:jc w:val="both"/>
        <w:rPr>
          <w:rFonts w:cs="Times New Roman" w:eastAsia="Calibri" w:hAnsi="Times New Roman" w:ascii="Times New Roman"/>
          <w:sz w:val="24"/>
          <w:szCs w:val="24"/>
        </w:rPr>
      </w:pPr>
    </w:p>
    <w:p w:rsidRDefault="00894ABD" w:rsidP="00894ABD" w:rsidR="00894ABD" w:rsidRPr="00894ABD">
      <w:pPr>
        <w:spacing w:lineRule="auto" w:line="240" w:after="0"/>
        <w:ind w:left="4956"/>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SUDAC</w:t>
      </w:r>
    </w:p>
    <w:p w:rsidRDefault="00894ABD" w:rsidP="00894ABD" w:rsidR="00894ABD" w:rsidRPr="00894ABD">
      <w:pPr>
        <w:spacing w:lineRule="auto" w:line="240" w:after="0"/>
        <w:ind w:left="4956"/>
        <w:jc w:val="both"/>
        <w:rPr>
          <w:rFonts w:cs="Times New Roman" w:eastAsia="Calibri" w:hAnsi="Times New Roman" w:ascii="Times New Roman"/>
          <w:sz w:val="24"/>
          <w:szCs w:val="24"/>
        </w:rPr>
      </w:pPr>
      <w:r w:rsidRPr="00894ABD">
        <w:rPr>
          <w:rFonts w:cs="Times New Roman" w:eastAsia="Calibri" w:hAnsi="Times New Roman" w:ascii="Times New Roman"/>
          <w:sz w:val="24"/>
          <w:szCs w:val="24"/>
        </w:rPr>
        <w:t>TATJANA KUJUNDŽIĆ NOVAK, v.r.</w:t>
      </w:r>
    </w:p>
    <w:p w:rsidRDefault="00894ABD" w:rsidP="00894ABD" w:rsidR="00894ABD" w:rsidRPr="00894ABD">
      <w:pPr>
        <w:spacing w:lineRule="auto" w:line="240" w:after="0"/>
        <w:ind w:left="4956"/>
        <w:jc w:val="both"/>
        <w:rPr>
          <w:rFonts w:cs="Times New Roman" w:eastAsia="Calibri" w:hAnsi="Times New Roman" w:ascii="Times New Roman"/>
          <w:sz w:val="24"/>
          <w:szCs w:val="24"/>
        </w:rPr>
      </w:pPr>
    </w:p>
    <w:p w:rsidRDefault="00894ABD" w:rsidP="00894ABD" w:rsidR="00894ABD" w:rsidRPr="00894ABD">
      <w:pPr>
        <w:spacing w:lineRule="auto" w:line="240" w:after="240"/>
        <w:ind w:left="4962"/>
        <w:contextualSpacing/>
        <w:rPr>
          <w:rFonts w:cs="Times New Roman" w:eastAsia="Times New Roman" w:hAnsi="Times New Roman" w:ascii="Times New Roman"/>
          <w:sz w:val="24"/>
          <w:szCs w:val="24"/>
          <w:lang w:eastAsia="hr-HR"/>
        </w:rPr>
      </w:pPr>
      <w:r w:rsidRPr="00894ABD">
        <w:rPr>
          <w:rFonts w:cs="Times New Roman" w:eastAsia="Times New Roman" w:hAnsi="Times New Roman" w:ascii="Times New Roman"/>
          <w:sz w:val="24"/>
          <w:szCs w:val="24"/>
          <w:lang w:eastAsia="hr-HR"/>
        </w:rPr>
        <w:t>Za točnost otpravka</w:t>
      </w:r>
    </w:p>
    <w:p w:rsidRDefault="00894ABD" w:rsidP="00894ABD" w:rsidR="00894ABD" w:rsidRPr="00894ABD">
      <w:pPr>
        <w:spacing w:lineRule="auto" w:line="240" w:after="240"/>
        <w:ind w:left="4962"/>
        <w:contextualSpacing/>
        <w:rPr>
          <w:rFonts w:cs="Times New Roman" w:eastAsia="Times New Roman" w:hAnsi="Times New Roman" w:ascii="Times New Roman"/>
          <w:sz w:val="24"/>
          <w:szCs w:val="24"/>
          <w:lang w:eastAsia="hr-HR"/>
        </w:rPr>
      </w:pPr>
      <w:r w:rsidRPr="00894ABD">
        <w:rPr>
          <w:rFonts w:cs="Times New Roman" w:eastAsia="Times New Roman" w:hAnsi="Times New Roman" w:ascii="Times New Roman"/>
          <w:sz w:val="24"/>
          <w:szCs w:val="24"/>
          <w:lang w:eastAsia="hr-HR"/>
        </w:rPr>
        <w:t>ovlašteni službenik</w:t>
      </w:r>
    </w:p>
    <w:p w:rsidRDefault="00894ABD" w:rsidP="00894ABD" w:rsidR="00894ABD" w:rsidRPr="00894ABD">
      <w:pPr>
        <w:spacing w:lineRule="auto" w:line="240" w:after="240"/>
        <w:ind w:left="4962"/>
        <w:contextualSpacing/>
        <w:rPr>
          <w:rFonts w:cs="Times New Roman" w:eastAsia="Times New Roman" w:hAnsi="Times New Roman" w:ascii="Times New Roman"/>
          <w:sz w:val="24"/>
          <w:szCs w:val="24"/>
          <w:lang w:eastAsia="hr-HR"/>
        </w:rPr>
      </w:pPr>
    </w:p>
    <w:p w:rsidRDefault="00894ABD" w:rsidP="00894ABD" w:rsidR="00894ABD" w:rsidRPr="00894ABD">
      <w:pPr>
        <w:spacing w:lineRule="auto" w:line="240" w:after="240"/>
        <w:ind w:left="4962"/>
        <w:contextualSpacing/>
        <w:rPr>
          <w:rFonts w:cs="Times New Roman" w:eastAsia="Times New Roman" w:hAnsi="Times New Roman" w:ascii="Times New Roman"/>
          <w:sz w:val="24"/>
          <w:szCs w:val="24"/>
          <w:lang w:eastAsia="hr-HR"/>
        </w:rPr>
      </w:pPr>
      <w:r w:rsidRPr="00894ABD">
        <w:rPr>
          <w:rFonts w:cs="Times New Roman" w:eastAsia="Times New Roman" w:hAnsi="Times New Roman" w:ascii="Times New Roman"/>
          <w:sz w:val="24"/>
          <w:szCs w:val="24"/>
          <w:lang w:eastAsia="hr-HR"/>
        </w:rPr>
        <w:t xml:space="preserve">Brankica </w:t>
      </w:r>
      <w:proofErr w:type="spellStart"/>
      <w:r w:rsidRPr="00894ABD">
        <w:rPr>
          <w:rFonts w:cs="Times New Roman" w:eastAsia="Times New Roman" w:hAnsi="Times New Roman" w:ascii="Times New Roman"/>
          <w:sz w:val="24"/>
          <w:szCs w:val="24"/>
          <w:lang w:eastAsia="hr-HR"/>
        </w:rPr>
        <w:t>Curman</w:t>
      </w:r>
      <w:proofErr w:type="spellEnd"/>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4ABD" w:rsidP="00894ABD" w:rsidR="00894ABD">
      <w:pPr>
        <w:spacing w:lineRule="auto" w:line="240" w:after="0"/>
      </w:pPr>
      <w:r>
        <w:separator/>
      </w:r>
    </w:p>
  </w:endnote>
  <w:endnote w:id="0" w:type="continuationSeparator">
    <w:p w:rsidRDefault="00894ABD" w:rsidP="00894ABD" w:rsidR="00894A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4ABD" w:rsidP="00894ABD" w:rsidR="00894ABD">
      <w:pPr>
        <w:spacing w:lineRule="auto" w:line="240" w:after="0"/>
      </w:pPr>
      <w:r>
        <w:separator/>
      </w:r>
    </w:p>
  </w:footnote>
  <w:footnote w:id="0" w:type="continuationSeparator">
    <w:p w:rsidRDefault="00894ABD" w:rsidP="00894ABD" w:rsidR="00894AB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2B5F" w:rsidP="00894ABD" w:rsidR="00894ABD">
    <w:pPr>
      <w:pStyle w:val="HeadereSPIS"/>
    </w:pPr>
    <w:r>
      <w:rPr>
        <w:rStyle w:val="PozadinaSvijetloZelena"/>
      </w:rPr>
      <w:t>Ref. 66 Pž-6211/2017-2</w:t>
    </w:r>
  </w:p>
  <w:p w:rsidRDefault="00894ABD" w:rsidR="00894AB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4ABD"/>
    <w:rsid w:val="000104E4"/>
    <w:rsid w:val="002B2B5F"/>
    <w:rsid w:val="007331B3"/>
    <w:rsid w:val="00894A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4AB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94ABD"/>
  </w:style>
  <w:style w:styleId="Podnoje" w:type="paragraph">
    <w:name w:val="footer"/>
    <w:basedOn w:val="Normal"/>
    <w:link w:val="PodnojeChar"/>
    <w:uiPriority w:val="99"/>
    <w:unhideWhenUsed/>
    <w:rsid w:val="00894AB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94ABD"/>
  </w:style>
  <w:style w:customStyle="true" w:styleId="HeadereSPIS" w:type="paragraph">
    <w:name w:val="Header_eSPIS"/>
    <w:basedOn w:val="Normal"/>
    <w:autoRedefine/>
    <w:qFormat/>
    <w:rsid w:val="00894ABD"/>
    <w:pPr>
      <w:spacing w:lineRule="auto" w:line="240" w:after="480"/>
      <w:ind w:firstLine="567"/>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894ABD"/>
    <w:rPr>
      <w:noProof/>
      <w:bdr w:frame="true" w:space="0" w:sz="0" w:color="auto" w:val="none"/>
      <w:shd w:fill="FFCCCC" w:color="auto" w:val="clear"/>
      <w:lang w:val="hr-HR"/>
    </w:rPr>
  </w:style>
  <w:style w:customStyle="true" w:styleId="PozadinaSvijetloZelena" w:type="character">
    <w:name w:val="Pozadina_SvijetloZelena"/>
    <w:basedOn w:val="Zadanifontodlomka"/>
    <w:rsid w:val="00894ABD"/>
    <w:rPr>
      <w:noProof/>
      <w:bdr w:frame="true" w:space="0" w:sz="0" w:color="auto" w:val="none"/>
      <w:shd w:fill="CCFFCC" w:color="auto" w:val="clear"/>
      <w:lang w:val="hr-HR"/>
    </w:rPr>
  </w:style>
  <w:style w:styleId="Tekstrezerviranogmjesta" w:type="character">
    <w:name w:val="Placeholder Text"/>
    <w:basedOn w:val="Zadanifontodlomka"/>
    <w:uiPriority w:val="99"/>
    <w:semiHidden/>
    <w:rsid w:val="002B2B5F"/>
    <w:rPr>
      <w:color w:val="808080"/>
      <w:bdr w:space="0" w:sz="0" w:color="auto" w:val="none"/>
      <w:shd w:fill="auto" w:color="auto" w:val="clear"/>
    </w:rPr>
  </w:style>
  <w:style w:customStyle="true" w:styleId="eSPISCCParagraphDefaultFont" w:type="character">
    <w:name w:val="eSPIS_CC_Paragraph Default Font"/>
    <w:basedOn w:val="Zadanifontodlomka"/>
    <w:rsid w:val="002B2B5F"/>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2B5F"/>
    <w:rPr>
      <w:rFonts w:cs="Times New Roman" w:eastAsia="Calibri" w:hAnsi="Times New Roman" w:ascii="Times New Roman"/>
      <w:sz w:val="24"/>
      <w:szCs w:val="24"/>
      <w:bdr w:space="0" w:sz="0" w:color="auto" w:val="none"/>
      <w:shd w:fill="FF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4AB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94ABD"/>
  </w:style>
  <w:style w:styleId="Podnoje" w:type="paragraph">
    <w:name w:val="footer"/>
    <w:basedOn w:val="Normal"/>
    <w:link w:val="PodnojeChar"/>
    <w:uiPriority w:val="99"/>
    <w:unhideWhenUsed/>
    <w:rsid w:val="00894AB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94ABD"/>
  </w:style>
  <w:style w:customStyle="1" w:styleId="HeadereSPIS" w:type="paragraph">
    <w:name w:val="Header_eSPIS"/>
    <w:basedOn w:val="Normal"/>
    <w:autoRedefine/>
    <w:qFormat/>
    <w:rsid w:val="00894ABD"/>
    <w:pPr>
      <w:spacing w:after="480" w:line="240" w:lineRule="auto"/>
      <w:ind w:firstLine="567"/>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894ABD"/>
    <w:rPr>
      <w:noProof/>
      <w:bdr w:color="auto" w:frame="1" w:space="0" w:sz="0" w:val="none"/>
      <w:shd w:color="auto" w:fill="FFCCCC" w:val="clear"/>
      <w:lang w:val="hr-HR"/>
    </w:rPr>
  </w:style>
  <w:style w:customStyle="1" w:styleId="PozadinaSvijetloZelena" w:type="character">
    <w:name w:val="Pozadina_SvijetloZelena"/>
    <w:basedOn w:val="Zadanifontodlomka"/>
    <w:rsid w:val="00894ABD"/>
    <w:rPr>
      <w:noProof/>
      <w:bdr w:color="auto" w:frame="1" w:space="0" w:sz="0" w:val="none"/>
      <w:shd w:color="auto" w:fill="CCFFCC" w:val="clear"/>
      <w:lang w:val="hr-HR"/>
    </w:rPr>
  </w:style>
  <w:style w:styleId="Tekstrezerviranogmjesta" w:type="character">
    <w:name w:val="Placeholder Text"/>
    <w:basedOn w:val="Zadanifontodlomka"/>
    <w:uiPriority w:val="99"/>
    <w:semiHidden/>
    <w:rsid w:val="002B2B5F"/>
    <w:rPr>
      <w:color w:val="808080"/>
      <w:bdr w:color="auto" w:space="0" w:sz="0" w:val="none"/>
      <w:shd w:color="auto" w:fill="auto" w:val="clear"/>
    </w:rPr>
  </w:style>
  <w:style w:customStyle="1" w:styleId="eSPISCCParagraphDefaultFont" w:type="character">
    <w:name w:val="eSPIS_CC_Paragraph Default Font"/>
    <w:basedOn w:val="Zadanifontodlomka"/>
    <w:rsid w:val="002B2B5F"/>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2B5F"/>
    <w:rPr>
      <w:rFonts w:ascii="Times New Roman" w:cs="Times New Roman" w:eastAsia="Calibri" w:hAnsi="Times New Roman"/>
      <w:sz w:val="24"/>
      <w:szCs w:val="24"/>
      <w:bdr w:color="auto" w:space="0" w:sz="0" w:val="none"/>
      <w:shd w:color="auto" w:fill="FF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13432">
      <w:bodyDiv w:val="true"/>
      <w:marLeft w:val="0"/>
      <w:marRight w:val="0"/>
      <w:marTop w:val="0"/>
      <w:marBottom w:val="0"/>
      <w:divBdr>
        <w:top w:space="0" w:sz="0" w:color="auto" w:val="none"/>
        <w:left w:space="0" w:sz="0" w:color="auto" w:val="none"/>
        <w:bottom w:space="0" w:sz="0" w:color="auto" w:val="none"/>
        <w:right w:space="0" w:sz="0" w:color="auto" w:val="none"/>
      </w:divBdr>
    </w:div>
    <w:div w:id="382484808">
      <w:bodyDiv w:val="true"/>
      <w:marLeft w:val="0"/>
      <w:marRight w:val="0"/>
      <w:marTop w:val="0"/>
      <w:marBottom w:val="0"/>
      <w:divBdr>
        <w:top w:space="0" w:sz="0" w:color="auto" w:val="none"/>
        <w:left w:space="0" w:sz="0" w:color="auto" w:val="none"/>
        <w:bottom w:space="0" w:sz="0" w:color="auto" w:val="none"/>
        <w:right w:space="0" w:sz="0" w:color="auto" w:val="none"/>
      </w:divBdr>
    </w:div>
    <w:div w:id="1062871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Pž-6211/2017 odbija se kao neosnovana žalba vj. Olja Gto d.o.o. i potvrđuje rj.-11 od 12.7.2017</izvorni_sadrzaj>
    <derivirana_varijabla naziv="DomainObject.Primjedba_1">Pž-6211/2017 odbija se kao neosnovana žalba vj. Olja Gto d.o.o. i potvrđuje rj.-11 od 12.7.2017</derivirana_varijabla>
  </DomainObject.Primjedba>
  <DomainObject.Oznaka>
    <izvorni_sadrzaj>St-228/2017-20</izvorni_sadrzaj>
    <derivirana_varijabla naziv="DomainObject.Oznaka_1">St-228/2017-20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srpnja 2017.</izvorni_sadrzaj>
    <derivirana_varijabla naziv="DomainObject.Predmet.DatumRjesavanja_1">27.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AUTO-BRKI d.o.o. za trgovinu i usluge</izvorni_sadrzaj>
    <derivirana_varijabla naziv="DomainObject.Predmet.ProtustrankaFormated_1">  AUTO-BRKI d.o.o. za trgovinu i usluge</derivirana_varijabla>
  </DomainObject.Predmet.ProtustrankaFormated>
  <DomainObject.Predmet.ProtustrankaFormatedOIB>
    <izvorni_sadrzaj>  AUTO-BRKI d.o.o. za trgovinu i usluge, OIB 49553987203</izvorni_sadrzaj>
    <derivirana_varijabla naziv="DomainObject.Predmet.ProtustrankaFormatedOIB_1">  AUTO-BRKI d.o.o. za trgovinu i usluge, OIB 49553987203</derivirana_varijabla>
  </DomainObject.Predmet.ProtustrankaFormatedOIB>
  <DomainObject.Predmet.ProtustrankaFormatedWithAdress>
    <izvorni_sadrzaj> AUTO-BRKI d.o.o. za trgovinu i usluge, Zagrebačka 11, 10290 Šibice</izvorni_sadrzaj>
    <derivirana_varijabla naziv="DomainObject.Predmet.ProtustrankaFormatedWithAdress_1"> AUTO-BRKI d.o.o. za trgovinu i usluge, Zagrebačka 11, 10290 Šibice</derivirana_varijabla>
  </DomainObject.Predmet.ProtustrankaFormatedWithAdress>
  <DomainObject.Predmet.ProtustrankaFormatedWithAdressOIB>
    <izvorni_sadrzaj> AUTO-BRKI d.o.o. za trgovinu i usluge, OIB 49553987203, Zagrebačka 11, 10290 Šibice</izvorni_sadrzaj>
    <derivirana_varijabla naziv="DomainObject.Predmet.ProtustrankaFormatedWithAdressOIB_1"> AUTO-BRKI d.o.o. za trgovinu i usluge, OIB 49553987203, Zagrebačka 11, 10290 Šibice</derivirana_varijabla>
  </DomainObject.Predmet.ProtustrankaFormatedWithAdressOIB>
  <DomainObject.Predmet.ProtustrankaWithAdress>
    <izvorni_sadrzaj>AUTO-BRKI d.o.o. za trgovinu i usluge Zagrebačka 11, 10290 Šibice</izvorni_sadrzaj>
    <derivirana_varijabla naziv="DomainObject.Predmet.ProtustrankaWithAdress_1">AUTO-BRKI d.o.o. za trgovinu i usluge Zagrebačka 11, 10290 Šibice</derivirana_varijabla>
  </DomainObject.Predmet.ProtustrankaWithAdress>
  <DomainObject.Predmet.ProtustrankaWithAdressOIB>
    <izvorni_sadrzaj>AUTO-BRKI d.o.o. za trgovinu i usluge, OIB 49553987203, Zagrebačka 11, 10290 Šibice</izvorni_sadrzaj>
    <derivirana_varijabla naziv="DomainObject.Predmet.ProtustrankaWithAdressOIB_1">AUTO-BRKI d.o.o. za trgovinu i usluge, OIB 49553987203, Zagrebačka 11, 10290 Šibice</derivirana_varijabla>
  </DomainObject.Predmet.ProtustrankaWithAdressOIB>
  <DomainObject.Predmet.ProtustrankaNazivFormated>
    <izvorni_sadrzaj>AUTO-BRKI d.o.o. za trgovinu i usluge</izvorni_sadrzaj>
    <derivirana_varijabla naziv="DomainObject.Predmet.ProtustrankaNazivFormated_1">AUTO-BRKI d.o.o. za trgovinu i usluge</derivirana_varijabla>
  </DomainObject.Predmet.ProtustrankaNazivFormated>
  <DomainObject.Predmet.ProtustrankaNazivFormatedOIB>
    <izvorni_sadrzaj>AUTO-BRKI d.o.o. za trgovinu i usluge, OIB 49553987203</izvorni_sadrzaj>
    <derivirana_varijabla naziv="DomainObject.Predmet.ProtustrankaNazivFormatedOIB_1">AUTO-BRKI d.o.o. za trgovinu i usluge, OIB 49553987203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AUTO-BRKI d.o.o. za trgovinu i usluge; OLJA GTO d.o.o.</izvorni_sadrzaj>
    <derivirana_varijabla naziv="DomainObject.Predmet.StrankaFormated_1">  AUTO-BRKI d.o.o. za trgovinu i usluge; OLJA GTO d.o.o.</derivirana_varijabla>
  </DomainObject.Predmet.StrankaFormated>
  <DomainObject.Predmet.StrankaFormatedOIB>
    <izvorni_sadrzaj>  AUTO-BRKI d.o.o. za trgovinu i usluge, OIB 49553987203; OLJA GTO d.o.o., OIB 57471993716</izvorni_sadrzaj>
    <derivirana_varijabla naziv="DomainObject.Predmet.StrankaFormatedOIB_1">  AUTO-BRKI d.o.o. za trgovinu i usluge, OIB 49553987203; OLJA GTO d.o.o., OIB 57471993716</derivirana_varijabla>
  </DomainObject.Predmet.StrankaFormatedOIB>
  <DomainObject.Predmet.StrankaFormatedWithAdress>
    <izvorni_sadrzaj> AUTO-BRKI d.o.o. za trgovinu i usluge, Zagrebačka 11, 10290 Šibice; OLJA GTO d.o.o., Mladinska ulica 5, Brežice</izvorni_sadrzaj>
    <derivirana_varijabla naziv="DomainObject.Predmet.StrankaFormatedWithAdress_1"> AUTO-BRKI d.o.o. za trgovinu i usluge, Zagrebačka 11, 10290 Šibice; OLJA GTO d.o.o., Mladinska ulica 5, Brežice</derivirana_varijabla>
  </DomainObject.Predmet.StrankaFormatedWithAdress>
  <DomainObject.Predmet.StrankaFormatedWithAdressOIB>
    <izvorni_sadrzaj> AUTO-BRKI d.o.o. za trgovinu i usluge, OIB 49553987203, Zagrebačka 11, 10290 Šibice; OLJA GTO d.o.o., OIB 57471993716, Mladinska ulica 5, Brežice</izvorni_sadrzaj>
    <derivirana_varijabla naziv="DomainObject.Predmet.StrankaFormatedWithAdressOIB_1"> AUTO-BRKI d.o.o. za trgovinu i usluge, OIB 49553987203, Zagrebačka 11, 10290 Šibice; OLJA GTO d.o.o., OIB 57471993716, Mladinska ulica 5, Brežice</derivirana_varijabla>
  </DomainObject.Predmet.StrankaFormatedWithAdressOIB>
  <DomainObject.Predmet.StrankaWithAdress>
    <izvorni_sadrzaj>AUTO-BRKI d.o.o. za trgovinu i usluge Zagrebačka 11,10290 Šibice,OLJA GTO d.o.o. Mladinska ulica 5,Brežice</izvorni_sadrzaj>
    <derivirana_varijabla naziv="DomainObject.Predmet.StrankaWithAdress_1">AUTO-BRKI d.o.o. za trgovinu i usluge Zagrebačka 11,10290 Šibice,OLJA GTO d.o.o. Mladinska ulica 5,Brežice</derivirana_varijabla>
  </DomainObject.Predmet.StrankaWithAdress>
  <DomainObject.Predmet.StrankaWithAdressOIB>
    <izvorni_sadrzaj>AUTO-BRKI d.o.o. za trgovinu i usluge, OIB 49553987203, Zagrebačka 11,10290 Šibice,OLJA GTO d.o.o., OIB 57471993716, Mladinska ulica 5,Brežice</izvorni_sadrzaj>
    <derivirana_varijabla naziv="DomainObject.Predmet.StrankaWithAdressOIB_1">AUTO-BRKI d.o.o. za trgovinu i usluge, OIB 49553987203, Zagrebačka 11,10290 Šibice,OLJA GTO d.o.o., OIB 57471993716, Mladinska ulica 5,Brežice</derivirana_varijabla>
  </DomainObject.Predmet.StrankaWithAdressOIB>
  <DomainObject.Predmet.StrankaNazivFormated>
    <izvorni_sadrzaj>AUTO-BRKI d.o.o. za trgovinu i usluge,OLJA GTO d.o.o.</izvorni_sadrzaj>
    <derivirana_varijabla naziv="DomainObject.Predmet.StrankaNazivFormated_1">AUTO-BRKI d.o.o. za trgovinu i usluge,OLJA GTO d.o.o.</derivirana_varijabla>
  </DomainObject.Predmet.StrankaNazivFormated>
  <DomainObject.Predmet.StrankaNazivFormatedOIB>
    <izvorni_sadrzaj>AUTO-BRKI d.o.o. za trgovinu i usluge, OIB 49553987203,OLJA GTO d.o.o., OIB 57471993716</izvorni_sadrzaj>
    <derivirana_varijabla naziv="DomainObject.Predmet.StrankaNazivFormatedOIB_1">AUTO-BRKI d.o.o. za trgovinu i usluge, OIB 49553987203,OLJA GTO d.o.o., OIB 57471993716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AUTO-BRKI d.o.o. za trgovinu i usluge</item>
      <item>OLJA GTO d.o.o.</item>
    </izvorni_sadrzaj>
    <derivirana_varijabla naziv="DomainObject.Predmet.StrankaListFormated_1">
      <item>AUTO-BRKI d.o.o. za trgovinu i usluge</item>
      <item>OLJA GTO d.o.o.</item>
    </derivirana_varijabla>
  </DomainObject.Predmet.StrankaListFormated>
  <DomainObject.Predmet.StrankaListFormatedOIB>
    <izvorni_sadrzaj>
      <item>AUTO-BRKI d.o.o. za trgovinu i usluge, OIB 49553987203</item>
      <item>OLJA GTO d.o.o., OIB 57471993716</item>
    </izvorni_sadrzaj>
    <derivirana_varijabla naziv="DomainObject.Predmet.StrankaListFormatedOIB_1">
      <item>AUTO-BRKI d.o.o. za trgovinu i usluge, OIB 49553987203</item>
      <item>OLJA GTO d.o.o., OIB 57471993716</item>
    </derivirana_varijabla>
  </DomainObject.Predmet.StrankaListFormatedOIB>
  <DomainObject.Predmet.StrankaListFormatedWithAdress>
    <izvorni_sadrzaj>
      <item>AUTO-BRKI d.o.o. za trgovinu i usluge, Zagrebačka 11, 10290 Šibice</item>
      <item>OLJA GTO d.o.o., Mladinska ulica 5, Brežice</item>
    </izvorni_sadrzaj>
    <derivirana_varijabla naziv="DomainObject.Predmet.StrankaListFormatedWithAdress_1">
      <item>AUTO-BRKI d.o.o. za trgovinu i usluge, Zagrebačka 11, 10290 Šibice</item>
      <item>OLJA GTO d.o.o., Mladinska ulica 5, Brežice</item>
    </derivirana_varijabla>
  </DomainObject.Predmet.StrankaListFormatedWithAdress>
  <DomainObject.Predmet.StrankaListFormatedWithAdressOIB>
    <izvorni_sadrzaj>
      <item>AUTO-BRKI d.o.o. za trgovinu i usluge, OIB 49553987203, Zagrebačka 11, 10290 Šibice</item>
      <item>OLJA GTO d.o.o., OIB 57471993716, Mladinska ulica 5, Brežice</item>
    </izvorni_sadrzaj>
    <derivirana_varijabla naziv="DomainObject.Predmet.StrankaListFormatedWithAdressOIB_1">
      <item>AUTO-BRKI d.o.o. za trgovinu i usluge, OIB 49553987203, Zagrebačka 11, 10290 Šibice</item>
      <item>OLJA GTO d.o.o., OIB 57471993716, Mladinska ulica 5, Brežice</item>
    </derivirana_varijabla>
  </DomainObject.Predmet.StrankaListFormatedWithAdressOIB>
  <DomainObject.Predmet.StrankaListNazivFormated>
    <izvorni_sadrzaj>
      <item>AUTO-BRKI d.o.o. za trgovinu i usluge</item>
      <item>OLJA GTO d.o.o.</item>
    </izvorni_sadrzaj>
    <derivirana_varijabla naziv="DomainObject.Predmet.StrankaListNazivFormated_1">
      <item>AUTO-BRKI d.o.o. za trgovinu i usluge</item>
      <item>OLJA GTO d.o.o.</item>
    </derivirana_varijabla>
  </DomainObject.Predmet.StrankaListNazivFormated>
  <DomainObject.Predmet.StrankaListNazivFormatedOIB>
    <izvorni_sadrzaj>
      <item>AUTO-BRKI d.o.o. za trgovinu i usluge, OIB 49553987203</item>
      <item>OLJA GTO d.o.o., OIB 57471993716</item>
    </izvorni_sadrzaj>
    <derivirana_varijabla naziv="DomainObject.Predmet.StrankaListNazivFormatedOIB_1">
      <item>AUTO-BRKI d.o.o. za trgovinu i usluge, OIB 49553987203</item>
      <item>OLJA GTO d.o.o., OIB 57471993716</item>
    </derivirana_varijabla>
  </DomainObject.Predmet.StrankaListNazivFormatedOIB>
  <DomainObject.Predmet.ProtuStrankaListFormated>
    <izvorni_sadrzaj>
      <item>AUTO-BRKI d.o.o. za trgovinu i usluge</item>
    </izvorni_sadrzaj>
    <derivirana_varijabla naziv="DomainObject.Predmet.ProtuStrankaListFormated_1">
      <item>AUTO-BRKI d.o.o. za trgovinu i usluge</item>
    </derivirana_varijabla>
  </DomainObject.Predmet.ProtuStrankaListFormated>
  <DomainObject.Predmet.ProtuStrankaListFormatedOIB>
    <izvorni_sadrzaj>
      <item>AUTO-BRKI d.o.o. za trgovinu i usluge, OIB 49553987203</item>
    </izvorni_sadrzaj>
    <derivirana_varijabla naziv="DomainObject.Predmet.ProtuStrankaListFormatedOIB_1">
      <item>AUTO-BRKI d.o.o. za trgovinu i usluge, OIB 49553987203</item>
    </derivirana_varijabla>
  </DomainObject.Predmet.ProtuStrankaListFormatedOIB>
  <DomainObject.Predmet.ProtuStrankaListFormatedWithAdress>
    <izvorni_sadrzaj>
      <item>AUTO-BRKI d.o.o. za trgovinu i usluge, Zagrebačka 11, 10290 Šibice</item>
    </izvorni_sadrzaj>
    <derivirana_varijabla naziv="DomainObject.Predmet.ProtuStrankaListFormatedWithAdress_1">
      <item>AUTO-BRKI d.o.o. za trgovinu i usluge, Zagrebačka 11, 10290 Šibice</item>
    </derivirana_varijabla>
  </DomainObject.Predmet.ProtuStrankaListFormatedWithAdress>
  <DomainObject.Predmet.ProtuStrankaListFormatedWithAdressOIB>
    <izvorni_sadrzaj>
      <item>AUTO-BRKI d.o.o. za trgovinu i usluge, OIB 49553987203, Zagrebačka 11, 10290 Šibice</item>
    </izvorni_sadrzaj>
    <derivirana_varijabla naziv="DomainObject.Predmet.ProtuStrankaListFormatedWithAdressOIB_1">
      <item>AUTO-BRKI d.o.o. za trgovinu i usluge, OIB 49553987203, Zagrebačka 11, 10290 Šibice</item>
    </derivirana_varijabla>
  </DomainObject.Predmet.ProtuStrankaListFormatedWithAdressOIB>
  <DomainObject.Predmet.ProtuStrankaListNazivFormated>
    <izvorni_sadrzaj>
      <item>AUTO-BRKI d.o.o. za trgovinu i usluge</item>
    </izvorni_sadrzaj>
    <derivirana_varijabla naziv="DomainObject.Predmet.ProtuStrankaListNazivFormated_1">
      <item>AUTO-BRKI d.o.o. za trgovinu i usluge</item>
    </derivirana_varijabla>
  </DomainObject.Predmet.ProtuStrankaListNazivFormated>
  <DomainObject.Predmet.ProtuStrankaListNazivFormatedOIB>
    <izvorni_sadrzaj>
      <item>AUTO-BRKI d.o.o. za trgovinu i usluge, OIB 49553987203</item>
    </izvorni_sadrzaj>
    <derivirana_varijabla naziv="DomainObject.Predmet.ProtuStrankaListNazivFormatedOIB_1">
      <item>AUTO-BRKI d.o.o. za trgovinu i usluge, OIB 49553987203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AUTO-BRKI d.o.o. za trgovinu i usluge i dr.</izvorni_sadrzaj>
    <derivirana_varijabla naziv="DomainObject.Predmet.StrankaIDrugi_1">AUTO-BRKI d.o.o. za trgovinu i usluge i dr.</derivirana_varijabla>
  </DomainObject.Predmet.StrankaIDrugi>
  <DomainObject.Predmet.ProtustrankaIDrugi>
    <izvorni_sadrzaj>AUTO-BRKI d.o.o. za trgovinu i usluge</izvorni_sadrzaj>
    <derivirana_varijabla naziv="DomainObject.Predmet.ProtustrankaIDrugi_1">AUTO-BRKI d.o.o. za trgovinu i usluge</derivirana_varijabla>
  </DomainObject.Predmet.ProtustrankaIDrugi>
  <DomainObject.Predmet.StrankaIDrugiAdressOIB>
    <izvorni_sadrzaj>AUTO-BRKI d.o.o. za trgovinu i usluge, OIB 49553987203, Zagrebačka 11, 10290 Šibice i dr.</izvorni_sadrzaj>
    <derivirana_varijabla naziv="DomainObject.Predmet.StrankaIDrugiAdressOIB_1">AUTO-BRKI d.o.o. za trgovinu i usluge, OIB 49553987203, Zagrebačka 11, 10290 Šibice i dr.</derivirana_varijabla>
  </DomainObject.Predmet.StrankaIDrugiAdressOIB>
  <DomainObject.Predmet.ProtustrankaIDrugiAdressOIB>
    <izvorni_sadrzaj>AUTO-BRKI d.o.o. za trgovinu i usluge, OIB 49553987203, Zagrebačka 11, 10290 Šibice</izvorni_sadrzaj>
    <derivirana_varijabla naziv="DomainObject.Predmet.ProtustrankaIDrugiAdressOIB_1">AUTO-BRKI d.o.o. za trgovinu i usluge, OIB 49553987203, Zagrebačka 11,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2017.</izvorni_sadrzaj>
    <derivirana_varijabla naziv="DomainObject.Predmet.OdlukaRjesenje.DatumDonosenjaOdluke_1">12. srpnja 2017.</derivirana_varijabla>
  </DomainObject.Predmet.OdlukaRjesenje.DatumDonosenjaOdluke>
  <DomainObject.Predmet.OdlukaRjesenje.DatumPravomocnosti>
    <izvorni_sadrzaj>10. listopada 2017.</izvorni_sadrzaj>
    <derivirana_varijabla naziv="DomainObject.Predmet.OdlukaRjesenje.DatumPravomocnosti_1">10. listopada 2017.</derivirana_varijabla>
  </DomainObject.Predmet.OdlukaRjesenje.DatumPravomocnosti>
  <DomainObject.Predmet.OdlukaRjesenje.Oznaka>
    <izvorni_sadrzaj>St-228/2017-11</izvorni_sadrzaj>
    <derivirana_varijabla naziv="DomainObject.Predmet.OdlukaRjesenje.Oznaka_1">St-228/2017-11</derivirana_varijabla>
  </DomainObject.Predmet.OdlukaRjesenje.Oznaka>
  <DomainObject.Predmet.SudioniciListNaziv>
    <izvorni_sadrzaj>
      <item>AUTO-BRKI d.o.o. za trgovinu i usluge</item>
      <item>AUTO-BRKI d.o.o. za trgovinu i usluge</item>
      <item>OLJA GTO d.o.o.</item>
    </izvorni_sadrzaj>
    <derivirana_varijabla naziv="DomainObject.Predmet.SudioniciListNaziv_1">
      <item>AUTO-BRKI d.o.o. za trgovinu i usluge</item>
      <item>AUTO-BRKI d.o.o. za trgovinu i usluge</item>
      <item>OLJA GTO d.o.o.</item>
    </derivirana_varijabla>
  </DomainObject.Predmet.SudioniciListNaziv>
  <DomainObject.Predmet.SudioniciListAdressOIB>
    <izvorni_sadrzaj>
      <item>AUTO-BRKI d.o.o. za trgovinu i usluge, OIB 49553987203, Zagrebačka 11,10290 Šibice</item>
      <item>AUTO-BRKI d.o.o. za trgovinu i usluge, OIB 49553987203, Zagrebačka 11,10290 Šibice</item>
      <item>OLJA GTO d.o.o., OIB 57471993716, Mladinska ulica 5,Brežice</item>
    </izvorni_sadrzaj>
    <derivirana_varijabla naziv="DomainObject.Predmet.SudioniciListAdressOIB_1">
      <item>AUTO-BRKI d.o.o. za trgovinu i usluge, OIB 49553987203, Zagrebačka 11,10290 Šibice</item>
      <item>AUTO-BRKI d.o.o. za trgovinu i usluge, OIB 49553987203, Zagrebačka 11,10290 Šibice</item>
      <item>OLJA GTO d.o.o., OIB 57471993716, Mladinska ulica 5,Brežice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49553987203</item>
      <item>, OIB 49553987203</item>
      <item>, OIB 57471993716</item>
    </izvorni_sadrzaj>
    <derivirana_varijabla naziv="DomainObject.Predmet.SudioniciListNazivOIB_1">
      <item>, OIB 49553987203</item>
      <item>, OIB 49553987203</item>
      <item>, OIB 57471993716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1244</properties:Words>
  <properties:Characters>7002</properties:Characters>
  <properties:Lines>154</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2017-10-23T11:10:00Z</dcterms:created>
  <dc:creator>Sonja Pilić</dc:creator>
  <cp:lastModifiedBy>Sonja Pilić</cp:lastModifiedBy>
  <dcterms:modified xmlns:xsi="http://www.w3.org/2001/XMLSchema-instance" xsi:type="dcterms:W3CDTF">2017-10-23T11:18:00Z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St-228/2017-20 / Podnesak - Rješenje - odbijena žalba kao neosnovana - potvrđeno rješenje 1.st.</vt:lpwstr>
  </prop:property>
  <prop:property name="CC_coloring" pid="4" fmtid="{D5CDD505-2E9C-101B-9397-08002B2CF9AE}">
    <vt:bool>false</vt:bool>
  </prop:property>
  <prop:property name="eSPIS_CC_ID" pid="5" fmtid="{D5CDD505-2E9C-101B-9397-08002B2CF9AE}">
    <vt:lpwstr>265122315</vt:lpwstr>
  </prop:property>
  <prop:property name="BrojStranica" pid="6" fmtid="{D5CDD505-2E9C-101B-9397-08002B2CF9AE}">
    <vt:i4>4</vt:i4>
  </prop:property>
</prop:Properties>
</file>