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ab55" w14:paraId="512ab55" w:rsidRDefault="00761986" w:rsidR="00CD0A47">
      <w:pPr>
        <w:pStyle w:val="Standard"/>
        <w:jc w:val="right"/>
        <w15:collapsed w:val="false"/>
        <w:rPr>
          <w:rFonts w:cs="Times New Roman" w:hAnsi="Times New Roman" w:ascii="Times New Roman"/>
          <w:sz w:val="22"/>
          <w:szCs w:val="22"/>
        </w:rPr>
      </w:pPr>
      <w:bookmarkStart w:name="_GoBack" w:id="0"/>
      <w:bookmarkEnd w:id="0"/>
      <w:r>
        <w:rPr>
          <w:rFonts w:cs="Times New Roman" w:hAnsi="Times New Roman" w:ascii="Times New Roman"/>
          <w:sz w:val="22"/>
          <w:szCs w:val="22"/>
        </w:rPr>
        <w:t>Obrazac 20.</w:t>
      </w:r>
    </w:p>
    <w:p w:rsidRDefault="00CD0A47" w:rsidR="00CD0A47">
      <w:pPr>
        <w:pStyle w:val="Standard"/>
        <w:jc w:val="center"/>
        <w:rPr>
          <w:rFonts w:cs="Times New Roman" w:hAnsi="Times New Roman" w:ascii="Times New Roman"/>
          <w:b/>
          <w:sz w:val="22"/>
          <w:szCs w:val="22"/>
        </w:rPr>
      </w:pPr>
    </w:p>
    <w:p w:rsidRDefault="00761986" w:rsidR="00CD0A47">
      <w:pPr>
        <w:pStyle w:val="Standard"/>
        <w:jc w:val="center"/>
        <w:rPr>
          <w:rFonts w:cs="Times New Roman" w:hAnsi="Times New Roman" w:ascii="Times New Roman"/>
          <w:b/>
          <w:sz w:val="22"/>
          <w:szCs w:val="22"/>
        </w:rPr>
      </w:pPr>
      <w:r>
        <w:rPr>
          <w:rFonts w:cs="Times New Roman" w:hAnsi="Times New Roman" w:ascii="Times New Roman"/>
          <w:b/>
          <w:sz w:val="22"/>
          <w:szCs w:val="22"/>
        </w:rPr>
        <w:t>IZVJEŠĆE STEČAJNOGA UPRAVITELJA O TIJEKU STEČAJNOGA POSTUPKA I STANJU STEČAJNE MASE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b/>
          <w:sz w:val="22"/>
          <w:szCs w:val="22"/>
        </w:rPr>
      </w:pPr>
    </w:p>
    <w:p w:rsidRDefault="00761986" w:rsidR="00CD0A47">
      <w:pPr>
        <w:pStyle w:val="Standard"/>
        <w:jc w:val="both"/>
        <w:rPr>
          <w:rFonts w:hint="eastAsia"/>
        </w:rPr>
      </w:pPr>
      <w:r>
        <w:rPr>
          <w:rFonts w:cs="Times New Roman" w:hAnsi="Times New Roman" w:ascii="Times New Roman"/>
          <w:sz w:val="22"/>
          <w:szCs w:val="22"/>
        </w:rPr>
        <w:t xml:space="preserve">Nadležni trgovački sud: </w:t>
      </w:r>
      <w:r>
        <w:rPr>
          <w:rFonts w:cs="Times New Roman" w:hAnsi="Times New Roman" w:ascii="Times New Roman"/>
          <w:b/>
          <w:sz w:val="22"/>
          <w:szCs w:val="22"/>
        </w:rPr>
        <w:t>TRGOVAČKI SUD U ZAGREBU, STALNA SLUŽBA U KARLOVCU</w:t>
      </w:r>
    </w:p>
    <w:p w:rsidRDefault="00761986" w:rsidR="00CD0A47">
      <w:pPr>
        <w:pStyle w:val="Standard"/>
        <w:jc w:val="both"/>
        <w:rPr>
          <w:rFonts w:hint="eastAsia"/>
        </w:rPr>
      </w:pPr>
      <w:r>
        <w:rPr>
          <w:rFonts w:cs="Times New Roman" w:hAnsi="Times New Roman" w:ascii="Times New Roman"/>
          <w:sz w:val="22"/>
          <w:szCs w:val="22"/>
        </w:rPr>
        <w:t xml:space="preserve">Poslovni broj spisa: </w:t>
      </w:r>
      <w:r>
        <w:rPr>
          <w:rFonts w:cs="Times New Roman" w:hAnsi="Times New Roman" w:ascii="Times New Roman"/>
          <w:b/>
          <w:sz w:val="22"/>
          <w:szCs w:val="22"/>
        </w:rPr>
        <w:t>St-4434/16</w:t>
      </w:r>
    </w:p>
    <w:p w:rsidRDefault="00761986" w:rsidR="00CD0A47">
      <w:pPr>
        <w:pStyle w:val="Standard"/>
        <w:jc w:val="both"/>
        <w:rPr>
          <w:rFonts w:hint="eastAsia"/>
        </w:rPr>
      </w:pPr>
      <w:r>
        <w:rPr>
          <w:rFonts w:cs="Times New Roman" w:hAnsi="Times New Roman" w:ascii="Times New Roman"/>
          <w:sz w:val="22"/>
          <w:szCs w:val="22"/>
        </w:rPr>
        <w:t xml:space="preserve">Dužnik (naziv, OIB, sjedište): </w:t>
      </w:r>
      <w:r>
        <w:rPr>
          <w:rFonts w:cs="Times New Roman" w:hAnsi="Times New Roman" w:ascii="Times New Roman"/>
          <w:b/>
          <w:sz w:val="22"/>
          <w:szCs w:val="22"/>
        </w:rPr>
        <w:t>STUDIO RUBING d.o.o., Jagnjeđe 3, Zagreb, OIB: 33841362364</w:t>
      </w:r>
    </w:p>
    <w:p w:rsidRDefault="00CD0A47" w:rsidR="00CD0A47">
      <w:pPr>
        <w:pStyle w:val="Standard"/>
        <w:jc w:val="both"/>
        <w:rPr>
          <w:rFonts w:hint="eastAsia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b/>
          <w:sz w:val="22"/>
          <w:szCs w:val="22"/>
        </w:rPr>
      </w:pPr>
      <w:r>
        <w:rPr>
          <w:rFonts w:cs="Times New Roman" w:hAnsi="Times New Roman" w:ascii="Times New Roman"/>
          <w:b/>
          <w:sz w:val="22"/>
          <w:szCs w:val="22"/>
        </w:rPr>
        <w:t>I. TIJEK STEČAJNOGA POSTUPKA U RAZDOBLJU OD 18.08.2018. DO 18.11.2018. GODINE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U razdoblju od 18.08.2018. godine do 18.11.2018. godine poduzete su slijedeće radnje: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-rješenjem TS u Rijeci, broj: P-705/16-5 nastavljen je parnični postupak u povodu tužbe stečajnog dužnika protiv tvrtke MGL INTERNACIONAL d.o.o. radi isplate 78.717,50 kn, te je održano pripremno ročište  koje je odgođeno radi pribavljanja dokumentacije,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-protiv tvrtke DETONO d.o.o. podnesen je prijedlog za ovrhu javnom bilježniku Marini Dabelić, radi naplate 111.519,60 kn, te je nakon donošenja rješenja o ovrsi, broj: Ovrv-76/18, ovršenik izjavio prigovor, te je predmet dostavljen TS u Zagrebu gdje se vodi parnični postupak pod brojem: P-1696/18 i u kojem postupku je održano pripremno ročište koje je odgođeno radi pribavljanja dokumentacije,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-sa kupcem nekretnine Damirom Rubeša sklopljen aneks kupoprodajnog ugovora radi ispravka kupoprodajne cijene koja je u aneksu izražena bez PDV-a,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-zapisnikom porezne uprave Područni ured Zagreb, Služba za nadzor PRV-a, Odjela za nadzor PDV-a III, utvrđeno je da je u vezi računa stečajnog dužnika izdanog za prodaju nekretnine u Zagrebu nastala obveza ispravka pretporeza u iznosu od 25.355,50 kn, slijedom čega je poreznoj upravi podnesen ispravak obrasca PDV-a za travanj 2018. godine za navedeni iznos, a za više plaćeni PDV po navedenom računu u iznosu od 37.764,96 kn Porezna uprava je bila u obvezi izvršiti povrat novčanih sredstava na račun stečajnog dužnika.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Navedeni povrat Porezna uprava je dijelom izvršila i to u iznosu od 11.579,20 kn, dok je za iznos od 26.563,39 kn neosnovano izvršen prijeboj za potraživanja koja su dospjela prije otvaranja stečajnog postupka nad stečajnim dužnikom, a koja nisu prijavljena u stečajni postupak, radi čega je Poreznoj upravi, Područni ured Zagreb podnesen zahtjev za povrat cjelokupnog preostalog iznosa od 26.563,39 kn.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b/>
          <w:sz w:val="22"/>
          <w:szCs w:val="22"/>
        </w:rPr>
      </w:pPr>
      <w:r>
        <w:rPr>
          <w:rFonts w:cs="Times New Roman" w:hAnsi="Times New Roman" w:ascii="Times New Roman"/>
          <w:b/>
          <w:sz w:val="22"/>
          <w:szCs w:val="22"/>
        </w:rPr>
        <w:t>II. STANJE STEČAJNE MASE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1. dati sustavan pregled predmeta stečajne mase s početka razdoblja izvješća prema čl.223. Stečajnog zakona.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Predmeti stečajne mase: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Popis predmeta stečajne mase nalazi se specificiran u tablici 3a i 3b uz Izvješće o gospodarskom položaju stečajnog dužnika, a radi se o pokretninama i nekretninama stečajnog dužnika.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2. dati podatak koji su predmeti stečajne mase unovčeni i u kojem iznosu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Pokretnine stečajnog dužnika prodane su za iznos od 11.000,00 kn (sa uključenim PDV-om), a suvlasnički dio nekretnina prodan je za iznos od 317.490,44 kn.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3. dati podatak koji predmeti stečajne mase nisu unovčeni i zbog kojeg razloga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Svi predmetni stečajne mase su unovčeni.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4. dati podatak o tome kako je ostvareno razlučno pravo, ako ono postoji</w:t>
      </w:r>
    </w:p>
    <w:p w:rsidRDefault="00761986" w:rsidR="00CD0A47">
      <w:pPr>
        <w:pStyle w:val="Standard"/>
        <w:jc w:val="both"/>
        <w:rPr>
          <w:rFonts w:hint="eastAsia"/>
        </w:rPr>
      </w:pPr>
      <w:r>
        <w:rPr>
          <w:rFonts w:cs="Times New Roman" w:hAnsi="Times New Roman" w:ascii="Times New Roman"/>
          <w:sz w:val="22"/>
          <w:szCs w:val="22"/>
        </w:rPr>
        <w:t>Utvrđeno razlučno pravo prikazano u tablici 7 koja se nalazi uz Izvješće o gospodarskom položaju stečajnog dužnika, u korist Wüstenrot stambena štedionica d.d., Heinzelova 33A, Zagreb, OIB: 07942675532 prestalo je isplatom dugovanja od strane suvlasnika nekretnine, te je OPGS u Zagrebu, zk odjel izvršio brisanje upisanog založnog prava.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5. dati podatak o tome kako je ostvareno izlučno pravo, ako ono postoji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lastRenderedPageBreak/>
        <w:t>Nisu prijavljena izlučna prava niti takva proizlaze iz poslovnih knjiga.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6. dati podatak o vjerovnicima stečajne mase i njihovom namirenju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Vjerovnici stečajne mase:</w:t>
      </w:r>
    </w:p>
    <w:p w:rsidRDefault="00CD0A47" w:rsidR="00CD0A47">
      <w:pPr>
        <w:pStyle w:val="Standard"/>
        <w:ind w:right="-576" w:left="-576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9575"/>
        <w:tblInd w:type="dxa" w:w="5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04"/>
        <w:gridCol w:w="4260"/>
        <w:gridCol w:w="3000"/>
        <w:gridCol w:w="1811"/>
      </w:tblGrid>
      <w:tr w:rsidR="00CD0A47">
        <w:tc>
          <w:tcPr>
            <w:tcW w:type="dxa" w:w="504"/>
            <w:tcBorders>
              <w:top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Rb</w:t>
            </w:r>
          </w:p>
        </w:tc>
        <w:tc>
          <w:tcPr>
            <w:tcW w:type="dxa" w:w="426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Naziv vjerovnika stečajne mase</w:t>
            </w:r>
          </w:p>
        </w:tc>
        <w:tc>
          <w:tcPr>
            <w:tcW w:type="dxa" w:w="300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Osnova</w:t>
            </w:r>
          </w:p>
        </w:tc>
        <w:tc>
          <w:tcPr>
            <w:tcW w:type="dxa" w:w="181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Iznos</w:t>
            </w:r>
          </w:p>
        </w:tc>
      </w:tr>
      <w:tr w:rsidR="00CD0A47">
        <w:tc>
          <w:tcPr>
            <w:tcW w:type="dxa" w:w="504"/>
            <w:tcBorders>
              <w:top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</w:t>
            </w:r>
          </w:p>
        </w:tc>
        <w:tc>
          <w:tcPr>
            <w:tcW w:type="dxa" w:w="4260"/>
            <w:tcBorders>
              <w:top w:space="0" w:sz="4" w:color="000080" w:val="single"/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HP d.d.</w:t>
            </w:r>
          </w:p>
        </w:tc>
        <w:tc>
          <w:tcPr>
            <w:tcW w:type="dxa" w:w="3000"/>
            <w:tcBorders>
              <w:top w:space="0" w:sz="4" w:color="000080" w:val="single"/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Poštarina</w:t>
            </w:r>
          </w:p>
        </w:tc>
        <w:tc>
          <w:tcPr>
            <w:tcW w:type="dxa" w:w="1811"/>
            <w:tcBorders>
              <w:top w:space="0" w:sz="4" w:color="000080" w:val="single"/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hint="eastAsia"/>
              </w:rPr>
            </w:pPr>
            <w:r>
              <w:rPr>
                <w:rFonts w:cs="Times New Roman" w:eastAsia="Liberation Serif" w:hAnsi="Times New Roman" w:ascii="Times New Roman"/>
                <w:sz w:val="22"/>
                <w:szCs w:val="22"/>
              </w:rPr>
              <w:t xml:space="preserve">23,00 </w:t>
            </w:r>
            <w:r>
              <w:rPr>
                <w:rFonts w:cs="Times New Roman" w:hAnsi="Times New Roman" w:ascii="Times New Roman"/>
                <w:sz w:val="22"/>
                <w:szCs w:val="22"/>
              </w:rPr>
              <w:t>kn</w:t>
            </w:r>
          </w:p>
        </w:tc>
      </w:tr>
      <w:tr w:rsidR="00CD0A47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2.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KALI d.o.o.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Knjigovodstvo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1.500,00 kn</w:t>
            </w:r>
          </w:p>
        </w:tc>
      </w:tr>
      <w:tr w:rsidR="00CD0A47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3.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Javni bilježnik D.G. Rukavina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Javnobilježnička pristojba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47,50 kn</w:t>
            </w:r>
          </w:p>
        </w:tc>
      </w:tr>
      <w:tr w:rsidR="00CD0A47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4.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Stečajni upravitelj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Putni trošak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1.040,00 kn</w:t>
            </w:r>
          </w:p>
        </w:tc>
      </w:tr>
      <w:tr w:rsidR="00CD0A47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5.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Stečajni upravitelj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Bruto nagrada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42.859,04 kn</w:t>
            </w:r>
          </w:p>
        </w:tc>
      </w:tr>
      <w:tr w:rsidR="00CD0A47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HZZO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Doprinos na bruto nagradu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3.213,68 kn</w:t>
            </w:r>
          </w:p>
        </w:tc>
      </w:tr>
      <w:tr w:rsidR="00CD0A47">
        <w:tc>
          <w:tcPr>
            <w:tcW w:type="dxa" w:w="504"/>
            <w:tcBorders>
              <w:top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A47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</w:p>
        </w:tc>
        <w:tc>
          <w:tcPr>
            <w:tcW w:type="dxa" w:w="7260"/>
            <w:gridSpan w:val="2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UKUPNO</w:t>
            </w:r>
          </w:p>
        </w:tc>
        <w:tc>
          <w:tcPr>
            <w:tcW w:type="dxa" w:w="181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hint="eastAsia"/>
              </w:rPr>
            </w:pPr>
            <w:r>
              <w:rPr>
                <w:rFonts w:cs="Times New Roman" w:eastAsia="Liberation Serif" w:hAnsi="Times New Roman" w:ascii="Times New Roman"/>
                <w:b/>
                <w:sz w:val="22"/>
                <w:szCs w:val="22"/>
              </w:rPr>
              <w:t xml:space="preserve">48.683,22 </w:t>
            </w: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kn</w:t>
            </w:r>
          </w:p>
        </w:tc>
      </w:tr>
    </w:tbl>
    <w:p w:rsidRDefault="00CD0A47" w:rsidR="00CD0A47">
      <w:pPr>
        <w:pStyle w:val="Standard"/>
        <w:jc w:val="both"/>
        <w:rPr>
          <w:rFonts w:hint="eastAsia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Vjerovnici stečajne mase namireni su u cijelosti, osim putnih troškova.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7. dati podatak o isplatama plaća radnika ako su nastavili s radom nakon otvaranja stečajnoga postupka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Nema zaposlenih radnika kod stečajnog dužnika budući je sa ranijim članom uprave sporazumno raskinut ugovor o radu sa danom otvaranja stečajnog postupka.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8. dati podatak o namirenju stečajnih vjerovnika (diobe)</w:t>
      </w:r>
    </w:p>
    <w:p w:rsidRDefault="00761986" w:rsidR="00CD0A47">
      <w:pPr>
        <w:pStyle w:val="Standard"/>
        <w:jc w:val="both"/>
        <w:rPr>
          <w:rFonts w:hint="eastAsia"/>
        </w:rPr>
      </w:pPr>
      <w:r>
        <w:rPr>
          <w:rFonts w:cs="Times New Roman" w:hAnsi="Times New Roman" w:ascii="Times New Roman"/>
          <w:sz w:val="22"/>
          <w:szCs w:val="22"/>
        </w:rPr>
        <w:t>Završna dioba biti će predložena kraja mjeseca studenog 2018. godine, a nakon pribave očitovanja Porezne uprave u Zagrebu radi povrata novčanih sredstava u iznosu od 26.563,39 kn za koje je Porezna uprava Zagreb izvršila prijeboj tražbine sa potraživanjem prema stečajnom dužniku po osnovi PDV-a i ostalih javnih davanja dospjelih prije otvaranja stečajnog postupka.</w:t>
      </w:r>
    </w:p>
    <w:p w:rsidRDefault="00CD0A47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9. ostali podaci.</w:t>
      </w:r>
    </w:p>
    <w:p w:rsidRDefault="00761986" w:rsidR="00CD0A47">
      <w:pPr>
        <w:pStyle w:val="Standard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U razdoblju od 18.08.2018. godine do 18.11.2018. godine ostvareni su prihodi i rashodi kako slijedi:</w:t>
      </w:r>
    </w:p>
    <w:p w:rsidRDefault="00CD0A47" w:rsidR="00CD0A47">
      <w:pPr>
        <w:pStyle w:val="Standard"/>
        <w:ind w:left="-540"/>
        <w:jc w:val="both"/>
        <w:rPr>
          <w:rFonts w:cs="Times New Roman" w:hAnsi="Times New Roman" w:ascii="Times New Roman"/>
          <w:sz w:val="22"/>
          <w:szCs w:val="22"/>
        </w:rPr>
      </w:pPr>
    </w:p>
    <w:tbl>
      <w:tblPr>
        <w:tblW w:type="dxa" w:w="9611"/>
        <w:tblInd w:type="dxa" w:w="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02"/>
        <w:gridCol w:w="1606"/>
        <w:gridCol w:w="3624"/>
        <w:gridCol w:w="1679"/>
      </w:tblGrid>
      <w:tr w:rsidR="00CD0A47">
        <w:trPr>
          <w:trHeight w:val="113"/>
        </w:trPr>
        <w:tc>
          <w:tcPr>
            <w:tcW w:type="dxa" w:w="2702"/>
            <w:tcBorders>
              <w:top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Prihodi</w:t>
            </w:r>
          </w:p>
        </w:tc>
        <w:tc>
          <w:tcPr>
            <w:tcW w:type="dxa" w:w="1606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Iznos</w:t>
            </w:r>
          </w:p>
        </w:tc>
        <w:tc>
          <w:tcPr>
            <w:tcW w:type="dxa" w:w="3624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Rashodi</w:t>
            </w:r>
          </w:p>
        </w:tc>
        <w:tc>
          <w:tcPr>
            <w:tcW w:type="dxa" w:w="1679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center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Iznos</w:t>
            </w:r>
          </w:p>
        </w:tc>
      </w:tr>
      <w:tr w:rsidR="00CD0A47">
        <w:trPr>
          <w:trHeight w:val="227"/>
        </w:trPr>
        <w:tc>
          <w:tcPr>
            <w:tcW w:type="dxa" w:w="270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Naplata potraživanja</w:t>
            </w:r>
          </w:p>
        </w:tc>
        <w:tc>
          <w:tcPr>
            <w:tcW w:type="dxa" w:w="1606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 kn</w:t>
            </w: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Poštarina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23,00 kn</w:t>
            </w:r>
          </w:p>
        </w:tc>
      </w:tr>
      <w:tr w:rsidR="00CD0A47">
        <w:trPr>
          <w:trHeight w:val="227"/>
        </w:trPr>
        <w:tc>
          <w:tcPr>
            <w:tcW w:type="dxa" w:w="270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Pokretnine i nekretnine</w:t>
            </w:r>
          </w:p>
        </w:tc>
        <w:tc>
          <w:tcPr>
            <w:tcW w:type="dxa" w:w="1606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 kn</w:t>
            </w: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Knjigovodstvo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1.500,00 kn</w:t>
            </w:r>
          </w:p>
        </w:tc>
      </w:tr>
      <w:tr w:rsidR="00CD0A47">
        <w:trPr>
          <w:trHeight w:val="227"/>
        </w:trPr>
        <w:tc>
          <w:tcPr>
            <w:tcW w:type="dxa" w:w="270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Pasivna kamata</w:t>
            </w:r>
          </w:p>
        </w:tc>
        <w:tc>
          <w:tcPr>
            <w:tcW w:type="dxa" w:w="1606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0,71 kn</w:t>
            </w: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Javni bilježnik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47,50 kn</w:t>
            </w:r>
          </w:p>
        </w:tc>
      </w:tr>
      <w:tr w:rsidR="00CD0A47">
        <w:trPr>
          <w:trHeight w:val="227"/>
        </w:trPr>
        <w:tc>
          <w:tcPr>
            <w:tcW w:type="dxa" w:w="270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Povrat više plaćenog PDV-a</w:t>
            </w:r>
          </w:p>
        </w:tc>
        <w:tc>
          <w:tcPr>
            <w:tcW w:type="dxa" w:w="1606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11.579,20 kn</w:t>
            </w: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Bruto nagrada st. upravitelja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42.859,04 kn</w:t>
            </w:r>
          </w:p>
        </w:tc>
      </w:tr>
      <w:tr w:rsidR="00CD0A47">
        <w:trPr>
          <w:trHeight w:val="227"/>
        </w:trPr>
        <w:tc>
          <w:tcPr>
            <w:tcW w:type="dxa" w:w="270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D0A47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</w:p>
        </w:tc>
        <w:tc>
          <w:tcPr>
            <w:tcW w:type="dxa" w:w="1606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D0A47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Doprinos za HZZO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3.213,68 kn</w:t>
            </w:r>
          </w:p>
        </w:tc>
      </w:tr>
      <w:tr w:rsidR="00CD0A47">
        <w:trPr>
          <w:trHeight w:val="227"/>
        </w:trPr>
        <w:tc>
          <w:tcPr>
            <w:tcW w:type="dxa" w:w="270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D0A47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</w:p>
        </w:tc>
        <w:tc>
          <w:tcPr>
            <w:tcW w:type="dxa" w:w="1606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D0A47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Putni trošak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1.040,00 kn</w:t>
            </w:r>
          </w:p>
        </w:tc>
      </w:tr>
      <w:tr w:rsidR="00CD0A47">
        <w:trPr>
          <w:trHeight w:val="227"/>
        </w:trPr>
        <w:tc>
          <w:tcPr>
            <w:tcW w:type="dxa" w:w="2702"/>
            <w:tcBorders>
              <w:top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UKUPNO</w:t>
            </w:r>
          </w:p>
        </w:tc>
        <w:tc>
          <w:tcPr>
            <w:tcW w:type="dxa" w:w="1606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11.579,91 kn</w:t>
            </w:r>
          </w:p>
        </w:tc>
        <w:tc>
          <w:tcPr>
            <w:tcW w:type="dxa" w:w="3624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both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UKUPNO</w:t>
            </w:r>
          </w:p>
        </w:tc>
        <w:tc>
          <w:tcPr>
            <w:tcW w:type="dxa" w:w="1679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1986" w:rsidR="00CD0A47">
            <w:pPr>
              <w:pStyle w:val="Standard"/>
              <w:snapToGrid w:val="false"/>
              <w:jc w:val="right"/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sz w:val="22"/>
                <w:szCs w:val="22"/>
              </w:rPr>
              <w:t>48.683,22 kn</w:t>
            </w:r>
          </w:p>
        </w:tc>
      </w:tr>
    </w:tbl>
    <w:p w:rsidRDefault="00CD0A47" w:rsidR="00CD0A47">
      <w:pPr>
        <w:pStyle w:val="Standard"/>
        <w:ind w:left="-540"/>
        <w:jc w:val="both"/>
        <w:rPr>
          <w:rFonts w:hint="eastAsia"/>
        </w:rPr>
      </w:pP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Stanje novčanih sredstava u blagajni na dan 18.11.2018. godine iznosi 0,00 kn.</w:t>
      </w:r>
    </w:p>
    <w:p w:rsidRDefault="00CD0A47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Stanje novčanih sredstava na žiro računu na dan 18.11.2018. godine iznosi 244.692,85 kn.</w:t>
      </w:r>
    </w:p>
    <w:p w:rsidRDefault="00CD0A47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b/>
          <w:sz w:val="22"/>
          <w:szCs w:val="22"/>
        </w:rPr>
      </w:pPr>
      <w:r>
        <w:rPr>
          <w:rFonts w:cs="Times New Roman" w:hAnsi="Times New Roman" w:ascii="Times New Roman"/>
          <w:b/>
          <w:sz w:val="22"/>
          <w:szCs w:val="22"/>
        </w:rPr>
        <w:t>III. RADNJE KOJE ĆE SE PODUZETI U NAREDNOM RAZDOBLJU</w:t>
      </w: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Naznačiti radnje koje će se poduzeti u naredom razdoblju od 18.11.2018. godine do 18.02.2019. godine.</w:t>
      </w: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i/>
          <w:iCs/>
          <w:sz w:val="22"/>
          <w:szCs w:val="22"/>
        </w:rPr>
      </w:pPr>
      <w:r>
        <w:rPr>
          <w:rFonts w:cs="Times New Roman" w:hAnsi="Times New Roman" w:ascii="Times New Roman"/>
          <w:i/>
          <w:iCs/>
          <w:sz w:val="22"/>
          <w:szCs w:val="22"/>
        </w:rPr>
        <w:t>Ako stečajni upravitelj izvješće podnosi radi donošenja odluka pojedinog tijela stečajnoga postupka, izvješće sadrži i prijedlog odluka.</w:t>
      </w:r>
    </w:p>
    <w:p w:rsidRDefault="00CD0A47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i/>
          <w:iCs/>
          <w:sz w:val="22"/>
          <w:szCs w:val="22"/>
        </w:rPr>
      </w:pP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U razdoblju od 18.11.2018. do 18.02.2019. godine poduzet će se slijedeće radnje:</w:t>
      </w: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-nastavak parnice kod TS u Rijeci, broj: P-705/16, protiv tvrtke MGL INTERNACIONAL d.o.o.,</w:t>
      </w: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-nastavak parnice kod TS u Zagrebu, broj: Povrv-1696/18, protiv tvrtke DETONO d.o.o.</w:t>
      </w: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-pokretanje postupka protiv Ministarstva financija, Porezna uprava u Zagrebu radi naplate neosnovano obustavljenog iznosa više plaćenog PDV-a u iznosu od 26.563,39 kn,</w:t>
      </w: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-završna dioba.</w:t>
      </w:r>
    </w:p>
    <w:p w:rsidRDefault="00CD0A47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</w:p>
    <w:p w:rsidRDefault="00CD0A47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tabs>
          <w:tab w:pos="9283" w:val="left"/>
        </w:tabs>
        <w:jc w:val="center"/>
        <w:rPr>
          <w:rFonts w:cs="Times New Roman" w:hAnsi="Times New Roman" w:ascii="Times New Roman"/>
          <w:b/>
          <w:bCs/>
          <w:sz w:val="22"/>
          <w:szCs w:val="22"/>
        </w:rPr>
      </w:pPr>
      <w:r>
        <w:rPr>
          <w:rFonts w:cs="Times New Roman" w:hAnsi="Times New Roman" w:ascii="Times New Roman"/>
          <w:b/>
          <w:bCs/>
          <w:sz w:val="22"/>
          <w:szCs w:val="22"/>
        </w:rPr>
        <w:t>PRIJEDLOZI ODLUKA</w:t>
      </w:r>
    </w:p>
    <w:p w:rsidRDefault="00CD0A47" w:rsidR="00CD0A47">
      <w:pPr>
        <w:pStyle w:val="Standard"/>
        <w:tabs>
          <w:tab w:pos="9283" w:val="left"/>
        </w:tabs>
        <w:jc w:val="center"/>
        <w:rPr>
          <w:rFonts w:cs="Times New Roman" w:hAnsi="Times New Roman" w:ascii="Times New Roman"/>
          <w:b/>
          <w:bCs/>
          <w:sz w:val="22"/>
          <w:szCs w:val="22"/>
        </w:rPr>
      </w:pPr>
    </w:p>
    <w:p w:rsidRDefault="00761986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-prihvaćaju se sve poduzete radnje stečajnog upravitelja u razdoblju od 18.08.2018. godine do 18.11.2018. godine.</w:t>
      </w:r>
    </w:p>
    <w:p w:rsidRDefault="00CD0A47" w:rsidR="00CD0A47">
      <w:pPr>
        <w:pStyle w:val="Standard"/>
        <w:tabs>
          <w:tab w:pos="9283" w:val="left"/>
        </w:tabs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ind w:right="-794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U Daruvaru, 18.08.2018. godine.</w:t>
      </w:r>
      <w:r>
        <w:rPr>
          <w:rFonts w:cs="Times New Roman" w:hAnsi="Times New Roman" w:ascii="Times New Roman"/>
          <w:sz w:val="22"/>
          <w:szCs w:val="22"/>
        </w:rPr>
        <w:tab/>
        <w:t xml:space="preserve"> </w:t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  <w:t xml:space="preserve">          </w:t>
      </w:r>
    </w:p>
    <w:p w:rsidRDefault="00CD0A47" w:rsidR="00CD0A47">
      <w:pPr>
        <w:pStyle w:val="Standard"/>
        <w:ind w:right="-772"/>
        <w:jc w:val="both"/>
        <w:rPr>
          <w:rFonts w:cs="Times New Roman" w:hAnsi="Times New Roman" w:ascii="Times New Roman"/>
          <w:sz w:val="22"/>
          <w:szCs w:val="22"/>
        </w:rPr>
      </w:pPr>
    </w:p>
    <w:p w:rsidRDefault="00761986" w:rsidR="00CD0A47">
      <w:pPr>
        <w:pStyle w:val="Standard"/>
        <w:ind w:right="-772" w:left="-576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  <w:t xml:space="preserve">          Stečajni upravitelj</w:t>
      </w:r>
    </w:p>
    <w:p w:rsidRDefault="00761986" w:rsidR="00CD0A47">
      <w:pPr>
        <w:pStyle w:val="Standard"/>
        <w:ind w:right="-772" w:left="-576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</w:r>
      <w:r>
        <w:rPr>
          <w:rFonts w:cs="Times New Roman" w:hAnsi="Times New Roman" w:ascii="Times New Roman"/>
          <w:sz w:val="22"/>
          <w:szCs w:val="22"/>
        </w:rPr>
        <w:tab/>
        <w:t xml:space="preserve">          Perica Medaković</w:t>
      </w:r>
    </w:p>
    <w:p w:rsidRDefault="00CD0A47" w:rsidR="00CD0A47">
      <w:pPr>
        <w:pStyle w:val="Standard"/>
        <w:ind w:right="-772" w:left="-576"/>
        <w:jc w:val="both"/>
        <w:rPr>
          <w:rFonts w:cs="Times New Roman" w:hAnsi="Times New Roman" w:ascii="Times New Roman"/>
          <w:sz w:val="22"/>
          <w:szCs w:val="22"/>
        </w:rPr>
      </w:pPr>
    </w:p>
    <w:p w:rsidRDefault="00CD0A47" w:rsidR="00CD0A47">
      <w:pPr>
        <w:pStyle w:val="Standard"/>
        <w:ind w:right="-772" w:left="-576"/>
        <w:jc w:val="both"/>
        <w:rPr>
          <w:rFonts w:cs="Times New Roman" w:hAnsi="Times New Roman" w:ascii="Times New Roman"/>
          <w:sz w:val="22"/>
          <w:szCs w:val="22"/>
        </w:rPr>
      </w:pPr>
    </w:p>
    <w:p w:rsidRDefault="00CD0A47" w:rsidR="00CD0A47">
      <w:pPr>
        <w:pStyle w:val="Standard"/>
        <w:ind w:right="-772" w:left="-576"/>
        <w:jc w:val="both"/>
        <w:rPr>
          <w:rFonts w:cs="Times New Roman" w:hAnsi="Times New Roman" w:ascii="Times New Roman"/>
          <w:sz w:val="22"/>
          <w:szCs w:val="22"/>
        </w:rPr>
      </w:pPr>
    </w:p>
    <w:sectPr w:rsidR="00CD0A47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986" w:rsidR="00761986">
      <w:pPr>
        <w:rPr>
          <w:rFonts w:hint="eastAsia"/>
        </w:rPr>
      </w:pPr>
      <w:r>
        <w:separator/>
      </w:r>
    </w:p>
  </w:endnote>
  <w:endnote w:id="0" w:type="continuationSeparator">
    <w:p w:rsidRDefault="00761986" w:rsidR="007619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986" w:rsidR="00761986">
      <w:pPr>
        <w:rPr>
          <w:rFonts w:hint="eastAsia"/>
        </w:rPr>
      </w:pPr>
      <w:r>
        <w:rPr>
          <w:color w:val="000000"/>
        </w:rPr>
        <w:separator/>
      </w:r>
    </w:p>
  </w:footnote>
  <w:footnote w:id="0" w:type="continuationSeparator">
    <w:p w:rsidRDefault="00761986" w:rsidR="0076198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CD0A47"/>
    <w:rsid w:val="00386CC9"/>
    <w:rsid w:val="00761986"/>
    <w:rsid w:val="00CD0A47"/>
    <w:rsid w:val="00DA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386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C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CC9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C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C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Arial" w:eastAsia="SimSun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386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C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CC9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CC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CC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5691</properties:Characters>
  <properties:Lines>170</properties:Lines>
  <properties:Paragraphs>107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2018-11-20T22:45:00Z</dcterms:created>
  <dc:creator>Renata Klokočki</dc:creator>
  <cp:lastModifiedBy>Renata Klokočki</cp:lastModifiedBy>
  <dcterms:modified xmlns:xsi="http://www.w3.org/2001/XMLSchema-instance" xsi:type="dcterms:W3CDTF">2018-11-26T12:22:00Z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St-4434/2016-40 / Podnesak - Izvješće stečajnog upravitelja (IZVJEŠĆE-STUDIO RUBING.docx)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