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d93d" w14:paraId="7c3d93d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Sp-10</w:t>
      </w:r>
      <w:r w:rsidR="0018763C">
        <w:rPr>
          <w:rFonts w:cs="Times New Roman" w:eastAsia="Times New Roman"/>
          <w:lang w:eastAsia="hr-HR"/>
        </w:rPr>
        <w:t>/16</w:t>
      </w:r>
      <w:r w:rsidR="00936FA5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Međurače 84, OIB:</w:t>
      </w:r>
      <w:r w:rsidR="00E84752">
        <w:rPr>
          <w:rFonts w:cs="Times New Roman" w:eastAsia="Times New Roman"/>
          <w:lang w:eastAsia="hr-HR"/>
        </w:rPr>
        <w:t>08830515098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>siječnja 2017. godine u 11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Societe Generale, Split, R. Boškovića 16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PBZ CARD d.o.o., Zagreb, Radnička cesta 44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>Croatia osiguranje d.d., Zagreb, Miramarska 22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E84752">
        <w:rPr>
          <w:rFonts w:cs="Times New Roman" w:eastAsia="Calibri"/>
        </w:rPr>
        <w:t xml:space="preserve"> i poziv na broj 4-8-10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6FA5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Lička 35</izvorni_sadrzaj>
    <derivirana_varijabla naziv="DomainObject.UcesnikSudskeRadnje.Adresa.UlicaIKBR_1">Lička 35</derivirana_varijabla>
  </DomainObject.UcesnikSudskeRadnje.Adresa.UlicaIKBR>
  <DomainObject.UcesnikSudskeRadnje.Naziv>
    <izvorni_sadrzaj>OD Rački i kolege j.t.d.</izvorni_sadrzaj>
    <derivirana_varijabla naziv="DomainObject.UcesnikSudskeRadnje.Naziv_1">OD Rački i kolege j.t.d.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OD Rački i kolege j.t.d., Lička 35,10000 Zagreb</izvorni_sadrzaj>
    <derivirana_varijabla naziv="DomainObject.UcesnikSudskeRadnje.NazivFormated_1">OD Rački i kolege j.t.d., Lička 35,10000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C1C05-7A36-422F-8087-1125E0E04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2016-11-29T12:10:00Z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OD Rački i kolege j.t.d.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