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79f5" w14:paraId="3f379f5" w:rsidRDefault="006C3E1F" w:rsidP="00CF6AA1" w:rsidR="00CF6AA1">
      <w:pPr>
        <w:spacing w:lineRule="auto" w:line="240" w:after="0"/>
        <w15:collapsed w:val="false"/>
        <w:rPr>
          <w:sz w:val="24"/>
          <w:szCs w:val="24"/>
        </w:rPr>
      </w:pPr>
      <w:bookmarkStart w:name="_GoBack" w:id="0"/>
      <w:bookmarkEnd w:id="0"/>
      <w:r w:rsidRPr="006C3E1F">
        <w:rPr>
          <w:sz w:val="24"/>
          <w:szCs w:val="24"/>
        </w:rPr>
        <w:t xml:space="preserve">                </w:t>
      </w:r>
    </w:p>
    <w:p w:rsidRDefault="00CF6AA1" w:rsidP="00CF6AA1" w:rsidR="006C3E1F" w:rsidRPr="006C3E1F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C3E1F" w:rsidRPr="006C3E1F">
        <w:rPr>
          <w:sz w:val="24"/>
          <w:szCs w:val="24"/>
        </w:rPr>
        <w:t xml:space="preserve">  </w:t>
      </w:r>
      <w:r w:rsidR="006C3E1F" w:rsidRPr="006C3E1F">
        <w:rPr>
          <w:noProof/>
          <w:sz w:val="24"/>
          <w:szCs w:val="24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3E1F" w:rsidRPr="006C3E1F">
        <w:rPr>
          <w:sz w:val="24"/>
          <w:szCs w:val="24"/>
        </w:rPr>
        <w:t xml:space="preserve">       </w:t>
      </w:r>
    </w:p>
    <w:p w:rsidRDefault="006C3E1F" w:rsidP="00CF6AA1" w:rsidR="00CF6AA1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  </w:t>
      </w:r>
    </w:p>
    <w:p w:rsidRDefault="00CF6AA1" w:rsidP="00CF6AA1" w:rsidR="006C3E1F" w:rsidRPr="006C3E1F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C3E1F" w:rsidRPr="006C3E1F">
        <w:rPr>
          <w:sz w:val="24"/>
          <w:szCs w:val="24"/>
        </w:rPr>
        <w:t xml:space="preserve"> REPUBLIKA HRVATSKA </w:t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</w:p>
    <w:p w:rsidRDefault="006C3E1F" w:rsidP="00CF6AA1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TRGOVAČKI SUD U RIJECI </w:t>
      </w:r>
    </w:p>
    <w:p w:rsidRDefault="00CF6AA1" w:rsidP="00CF6AA1" w:rsidR="00CF6AA1" w:rsidRPr="006C3E1F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C3E1F" w:rsidRPr="006C3E1F">
        <w:rPr>
          <w:sz w:val="24"/>
          <w:szCs w:val="24"/>
        </w:rPr>
        <w:t>Rijeka, Zadarska 1-3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Poslovni broj 7 St-1039/2011-585</w:t>
      </w:r>
    </w:p>
    <w:p w:rsidRDefault="006C3E1F" w:rsidP="00CF6AA1" w:rsidR="006C3E1F" w:rsidRPr="006C3E1F">
      <w:pPr>
        <w:spacing w:lineRule="auto" w:line="240" w:after="0"/>
        <w:jc w:val="left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  <w:r w:rsidRPr="006C3E1F">
        <w:rPr>
          <w:sz w:val="24"/>
          <w:szCs w:val="24"/>
        </w:rPr>
        <w:t xml:space="preserve">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>R E P U B L I K A    H R V A T S K A</w:t>
      </w:r>
    </w:p>
    <w:p w:rsidRDefault="006C3E1F" w:rsidP="006C3E1F" w:rsidR="006C3E1F">
      <w:pPr>
        <w:spacing w:lineRule="auto" w:line="240" w:after="0"/>
        <w:jc w:val="center"/>
        <w:rPr>
          <w:sz w:val="24"/>
          <w:szCs w:val="24"/>
        </w:rPr>
      </w:pPr>
    </w:p>
    <w:p w:rsidRDefault="00CF6AA1" w:rsidP="006C3E1F" w:rsidR="00CF6AA1" w:rsidRPr="006C3E1F">
      <w:pPr>
        <w:spacing w:lineRule="auto" w:line="240" w:after="0"/>
        <w:jc w:val="center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 xml:space="preserve">R J E Š E NJ E  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8768DD" w:rsidR="006C3E1F" w:rsidRPr="008768DD">
      <w:pPr>
        <w:pStyle w:val="Bezproreda"/>
        <w:rPr>
          <w:sz w:val="24"/>
          <w:szCs w:val="24"/>
        </w:rPr>
      </w:pPr>
      <w:r w:rsidRPr="006C3E1F">
        <w:t xml:space="preserve"> </w:t>
      </w:r>
      <w:r w:rsidRPr="006C3E1F">
        <w:tab/>
      </w:r>
      <w:r w:rsidRPr="008768DD">
        <w:rPr>
          <w:sz w:val="24"/>
          <w:szCs w:val="24"/>
        </w:rPr>
        <w:t>Trgovački sud u Rijeci, po Liljani Ugrin stečajnom sucu u predmetu provođenja stečajnog postupka nad dužnikom ISTRAGRADNJA društvo s ograničenom odgovornošću za visokogradnju</w:t>
      </w:r>
      <w:r w:rsidR="00CF6AA1">
        <w:rPr>
          <w:sz w:val="24"/>
          <w:szCs w:val="24"/>
        </w:rPr>
        <w:t xml:space="preserve"> u stečaju Pula, Marulićeva 3 (</w:t>
      </w:r>
      <w:r w:rsidRPr="008768DD">
        <w:rPr>
          <w:sz w:val="24"/>
          <w:szCs w:val="24"/>
        </w:rPr>
        <w:t xml:space="preserve">OIB: 57830493228) dana </w:t>
      </w:r>
      <w:r w:rsidR="008768DD" w:rsidRPr="008768DD">
        <w:rPr>
          <w:sz w:val="24"/>
          <w:szCs w:val="24"/>
        </w:rPr>
        <w:t>23</w:t>
      </w:r>
      <w:r w:rsidRPr="008768DD">
        <w:rPr>
          <w:sz w:val="24"/>
          <w:szCs w:val="24"/>
        </w:rPr>
        <w:t xml:space="preserve">. siječnja 2018. </w:t>
      </w:r>
    </w:p>
    <w:p w:rsidRDefault="000A5CAD" w:rsidP="008768DD" w:rsidR="000A5CAD">
      <w:pPr>
        <w:pStyle w:val="Bezproreda"/>
        <w:rPr>
          <w:sz w:val="24"/>
          <w:szCs w:val="24"/>
        </w:rPr>
      </w:pPr>
    </w:p>
    <w:p w:rsidRDefault="00CF6AA1" w:rsidP="008768DD" w:rsidR="00CF6AA1">
      <w:pPr>
        <w:pStyle w:val="Bezproreda"/>
        <w:rPr>
          <w:sz w:val="24"/>
          <w:szCs w:val="24"/>
        </w:rPr>
      </w:pPr>
    </w:p>
    <w:p w:rsidRDefault="006C3E1F" w:rsidP="008768DD" w:rsidR="006C3E1F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r i j e š i o   j e</w:t>
      </w:r>
    </w:p>
    <w:p w:rsidRDefault="008768DD" w:rsidP="008768DD" w:rsidR="008768DD">
      <w:pPr>
        <w:pStyle w:val="Bezproreda"/>
        <w:jc w:val="center"/>
        <w:rPr>
          <w:sz w:val="24"/>
          <w:szCs w:val="24"/>
        </w:rPr>
      </w:pPr>
    </w:p>
    <w:p w:rsidRDefault="00CF6AA1" w:rsidP="008768DD" w:rsidR="00CF6AA1">
      <w:pPr>
        <w:pStyle w:val="Bezproreda"/>
        <w:jc w:val="center"/>
        <w:rPr>
          <w:sz w:val="24"/>
          <w:szCs w:val="24"/>
        </w:rPr>
      </w:pPr>
    </w:p>
    <w:p w:rsidRDefault="008768DD" w:rsidP="008768DD" w:rsidR="006C3E1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C3E1F" w:rsidRPr="008768DD">
        <w:rPr>
          <w:sz w:val="24"/>
          <w:szCs w:val="24"/>
        </w:rPr>
        <w:t>Ispravlja se ovosudno rješenje pod poslovnim brojem 7 St-1039/2011-</w:t>
      </w:r>
      <w:r w:rsidRPr="008768DD">
        <w:rPr>
          <w:sz w:val="24"/>
          <w:szCs w:val="24"/>
        </w:rPr>
        <w:t>5</w:t>
      </w:r>
      <w:r w:rsidR="006C3E1F" w:rsidRPr="008768DD">
        <w:rPr>
          <w:sz w:val="24"/>
          <w:szCs w:val="24"/>
        </w:rPr>
        <w:t>20 od 31. kolovoza 2017. tako da u točki II izreke tog rješenja i prvom stavku obrazloženja umjesto "k.č. 242/ZGR" ima pisati  "k.č. 245/ZGR".</w:t>
      </w:r>
    </w:p>
    <w:p w:rsidRDefault="008768DD" w:rsidP="008768DD" w:rsidR="008768DD" w:rsidRPr="008768DD">
      <w:pPr>
        <w:pStyle w:val="Bezproreda"/>
        <w:ind w:firstLine="708"/>
        <w:rPr>
          <w:sz w:val="24"/>
          <w:szCs w:val="24"/>
        </w:rPr>
      </w:pPr>
    </w:p>
    <w:p w:rsidRDefault="008768DD" w:rsidP="008768DD" w:rsidR="008768D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8768DD">
        <w:rPr>
          <w:sz w:val="24"/>
          <w:szCs w:val="24"/>
        </w:rPr>
        <w:t xml:space="preserve">Ispravlja se ovosudni zaključak </w:t>
      </w:r>
      <w:r w:rsidR="004D180D">
        <w:rPr>
          <w:sz w:val="24"/>
          <w:szCs w:val="24"/>
        </w:rPr>
        <w:t xml:space="preserve">pod </w:t>
      </w:r>
      <w:r w:rsidRPr="008768DD">
        <w:rPr>
          <w:rFonts w:eastAsia="MS Mincho"/>
          <w:sz w:val="24"/>
          <w:szCs w:val="24"/>
        </w:rPr>
        <w:t>poslovni</w:t>
      </w:r>
      <w:r w:rsidR="004D180D">
        <w:rPr>
          <w:rFonts w:eastAsia="MS Mincho"/>
          <w:sz w:val="24"/>
          <w:szCs w:val="24"/>
        </w:rPr>
        <w:t>m</w:t>
      </w:r>
      <w:r w:rsidRPr="008768DD">
        <w:rPr>
          <w:rFonts w:eastAsia="MS Mincho"/>
          <w:sz w:val="24"/>
          <w:szCs w:val="24"/>
        </w:rPr>
        <w:t xml:space="preserve"> broj</w:t>
      </w:r>
      <w:r w:rsidR="004D180D">
        <w:rPr>
          <w:rFonts w:eastAsia="MS Mincho"/>
          <w:sz w:val="24"/>
          <w:szCs w:val="24"/>
        </w:rPr>
        <w:t>em</w:t>
      </w:r>
      <w:r w:rsidRPr="008768DD">
        <w:rPr>
          <w:rFonts w:eastAsia="MS Mincho"/>
          <w:sz w:val="24"/>
          <w:szCs w:val="24"/>
        </w:rPr>
        <w:t xml:space="preserve"> 7 St-1039/2011-</w:t>
      </w:r>
      <w:r w:rsidR="00CF6AA1">
        <w:rPr>
          <w:rFonts w:eastAsia="MS Mincho"/>
          <w:sz w:val="24"/>
          <w:szCs w:val="24"/>
        </w:rPr>
        <w:t>573</w:t>
      </w:r>
      <w:r w:rsidRPr="008768DD">
        <w:rPr>
          <w:rFonts w:eastAsia="MS Mincho"/>
          <w:sz w:val="24"/>
          <w:szCs w:val="24"/>
        </w:rPr>
        <w:t xml:space="preserve"> od 28. prosinca 2017. </w:t>
      </w:r>
      <w:r w:rsidRPr="008768DD">
        <w:rPr>
          <w:sz w:val="24"/>
          <w:szCs w:val="24"/>
        </w:rPr>
        <w:t xml:space="preserve">tako da u točki II izreke tog </w:t>
      </w:r>
      <w:r w:rsidR="006A6271">
        <w:rPr>
          <w:sz w:val="24"/>
          <w:szCs w:val="24"/>
        </w:rPr>
        <w:t xml:space="preserve">zaključka </w:t>
      </w:r>
      <w:r w:rsidRPr="008768DD">
        <w:rPr>
          <w:sz w:val="24"/>
          <w:szCs w:val="24"/>
        </w:rPr>
        <w:t>umjesto "k.č. 242/ZGR" ima pisati "k.č. 245/ZGR".</w:t>
      </w:r>
    </w:p>
    <w:p w:rsidRDefault="00CF6AA1" w:rsidP="008768DD" w:rsidR="00CF6AA1" w:rsidRPr="008768DD">
      <w:pPr>
        <w:pStyle w:val="Bezproreda"/>
        <w:rPr>
          <w:sz w:val="24"/>
          <w:szCs w:val="24"/>
        </w:rPr>
      </w:pPr>
    </w:p>
    <w:p w:rsidRDefault="006A6271" w:rsidP="008768DD" w:rsidR="006A6271">
      <w:pPr>
        <w:pStyle w:val="Bezproreda"/>
        <w:jc w:val="center"/>
        <w:rPr>
          <w:sz w:val="24"/>
          <w:szCs w:val="24"/>
        </w:rPr>
      </w:pPr>
    </w:p>
    <w:p w:rsidRDefault="006C3E1F" w:rsidP="008768DD" w:rsidR="006C3E1F" w:rsidRPr="008768DD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Obrazloženje</w:t>
      </w:r>
    </w:p>
    <w:p w:rsidRDefault="006C3E1F" w:rsidP="008768DD" w:rsidR="008768DD">
      <w:pPr>
        <w:pStyle w:val="Bezproreda"/>
        <w:rPr>
          <w:sz w:val="24"/>
          <w:szCs w:val="24"/>
        </w:rPr>
      </w:pPr>
      <w:r w:rsidRPr="008768DD">
        <w:rPr>
          <w:sz w:val="24"/>
          <w:szCs w:val="24"/>
        </w:rPr>
        <w:t xml:space="preserve">            </w:t>
      </w:r>
    </w:p>
    <w:p w:rsidRDefault="008768DD" w:rsidP="006A6271" w:rsidR="008768D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Na prijedlog kupca, po izvršenom uvidu u spis, posebno izvatke iz zemljišnih knjiga koji priliježu spisu</w:t>
      </w:r>
      <w:r w:rsidR="006A6271">
        <w:rPr>
          <w:sz w:val="24"/>
          <w:szCs w:val="24"/>
        </w:rPr>
        <w:t>,</w:t>
      </w:r>
      <w:r>
        <w:rPr>
          <w:sz w:val="24"/>
          <w:szCs w:val="24"/>
        </w:rPr>
        <w:t xml:space="preserve"> zaključak o prodaji nekretnina dužnika i zahtjev</w:t>
      </w:r>
      <w:r w:rsidR="006A6271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Pr="008768DD">
        <w:rPr>
          <w:sz w:val="24"/>
          <w:szCs w:val="24"/>
        </w:rPr>
        <w:t>2. lipnja 2016</w:t>
      </w:r>
      <w:r>
        <w:rPr>
          <w:sz w:val="24"/>
          <w:szCs w:val="24"/>
        </w:rPr>
        <w:t xml:space="preserve">. utvrđeno je da je došlo do pogreške u pisanju brojeva u ovosudnom rješenju pod poslovnim brojem </w:t>
      </w:r>
      <w:r w:rsidRPr="008768DD">
        <w:rPr>
          <w:sz w:val="24"/>
          <w:szCs w:val="24"/>
        </w:rPr>
        <w:t>7 St-1039/2011-520 od 31. kolovoza 2017. tako da</w:t>
      </w:r>
      <w:r w:rsidR="006A6271">
        <w:rPr>
          <w:sz w:val="24"/>
          <w:szCs w:val="24"/>
        </w:rPr>
        <w:t xml:space="preserve"> je </w:t>
      </w:r>
      <w:r w:rsidRPr="008768DD">
        <w:rPr>
          <w:sz w:val="24"/>
          <w:szCs w:val="24"/>
        </w:rPr>
        <w:t xml:space="preserve">u točki II izreke tog rješenja i prvom stavku obrazloženja umjesto </w:t>
      </w:r>
      <w:r w:rsidR="006A6271">
        <w:rPr>
          <w:sz w:val="24"/>
          <w:szCs w:val="24"/>
        </w:rPr>
        <w:t xml:space="preserve">broja </w:t>
      </w:r>
      <w:r w:rsidRPr="008768DD">
        <w:rPr>
          <w:sz w:val="24"/>
          <w:szCs w:val="24"/>
        </w:rPr>
        <w:t>"24</w:t>
      </w:r>
      <w:r w:rsidR="006A6271">
        <w:rPr>
          <w:sz w:val="24"/>
          <w:szCs w:val="24"/>
        </w:rPr>
        <w:t>5"</w:t>
      </w:r>
      <w:r w:rsidRPr="008768DD">
        <w:rPr>
          <w:sz w:val="24"/>
          <w:szCs w:val="24"/>
        </w:rPr>
        <w:t xml:space="preserve"> </w:t>
      </w:r>
      <w:r w:rsidR="006A6271">
        <w:rPr>
          <w:sz w:val="24"/>
          <w:szCs w:val="24"/>
        </w:rPr>
        <w:t>napisan broj "</w:t>
      </w:r>
      <w:r w:rsidRPr="008768DD">
        <w:rPr>
          <w:sz w:val="24"/>
          <w:szCs w:val="24"/>
        </w:rPr>
        <w:t>24</w:t>
      </w:r>
      <w:r w:rsidR="006A6271">
        <w:rPr>
          <w:sz w:val="24"/>
          <w:szCs w:val="24"/>
        </w:rPr>
        <w:t xml:space="preserve">2", kao i u točki II izreke </w:t>
      </w:r>
      <w:r w:rsidRPr="008768DD">
        <w:rPr>
          <w:sz w:val="24"/>
          <w:szCs w:val="24"/>
        </w:rPr>
        <w:t>zaključk</w:t>
      </w:r>
      <w:r w:rsidR="006A6271">
        <w:rPr>
          <w:sz w:val="24"/>
          <w:szCs w:val="24"/>
        </w:rPr>
        <w:t>a</w:t>
      </w:r>
      <w:r w:rsidRPr="008768DD">
        <w:rPr>
          <w:sz w:val="24"/>
          <w:szCs w:val="24"/>
        </w:rPr>
        <w:t xml:space="preserve"> </w:t>
      </w:r>
      <w:r w:rsidRPr="008768DD">
        <w:rPr>
          <w:rFonts w:eastAsia="MS Mincho"/>
          <w:sz w:val="24"/>
          <w:szCs w:val="24"/>
        </w:rPr>
        <w:t>poslovni broj 7 St-1039/2011-</w:t>
      </w:r>
      <w:r w:rsidR="00CF6AA1">
        <w:rPr>
          <w:rFonts w:eastAsia="MS Mincho"/>
          <w:sz w:val="24"/>
          <w:szCs w:val="24"/>
        </w:rPr>
        <w:t>573</w:t>
      </w:r>
      <w:r w:rsidRPr="008768DD">
        <w:rPr>
          <w:rFonts w:eastAsia="MS Mincho"/>
          <w:sz w:val="24"/>
          <w:szCs w:val="24"/>
        </w:rPr>
        <w:t xml:space="preserve"> od 28. prosinca 2017. </w:t>
      </w:r>
      <w:r w:rsidR="006A6271">
        <w:rPr>
          <w:rFonts w:eastAsia="MS Mincho"/>
          <w:sz w:val="24"/>
          <w:szCs w:val="24"/>
        </w:rPr>
        <w:t xml:space="preserve">u </w:t>
      </w:r>
      <w:r w:rsidRPr="008768DD">
        <w:rPr>
          <w:sz w:val="24"/>
          <w:szCs w:val="24"/>
        </w:rPr>
        <w:t xml:space="preserve">točki II izreke </w:t>
      </w:r>
      <w:r w:rsidR="006A6271">
        <w:rPr>
          <w:sz w:val="24"/>
          <w:szCs w:val="24"/>
        </w:rPr>
        <w:t xml:space="preserve">umjesto broja </w:t>
      </w:r>
      <w:r w:rsidRPr="008768DD">
        <w:rPr>
          <w:sz w:val="24"/>
          <w:szCs w:val="24"/>
        </w:rPr>
        <w:t>"24</w:t>
      </w:r>
      <w:r w:rsidR="006A6271">
        <w:rPr>
          <w:sz w:val="24"/>
          <w:szCs w:val="24"/>
        </w:rPr>
        <w:t xml:space="preserve">5" napisan broj </w:t>
      </w:r>
      <w:r w:rsidRPr="008768DD">
        <w:rPr>
          <w:sz w:val="24"/>
          <w:szCs w:val="24"/>
        </w:rPr>
        <w:t>"24</w:t>
      </w:r>
      <w:r w:rsidR="006A6271">
        <w:rPr>
          <w:sz w:val="24"/>
          <w:szCs w:val="24"/>
        </w:rPr>
        <w:t>2</w:t>
      </w:r>
      <w:r w:rsidRPr="008768DD">
        <w:rPr>
          <w:sz w:val="24"/>
          <w:szCs w:val="24"/>
        </w:rPr>
        <w:t>".</w:t>
      </w:r>
    </w:p>
    <w:p w:rsidRDefault="00CF6AA1" w:rsidP="006A6271" w:rsidR="00CF6AA1" w:rsidRPr="008768DD">
      <w:pPr>
        <w:pStyle w:val="Bezproreda"/>
        <w:ind w:firstLine="708"/>
        <w:rPr>
          <w:sz w:val="24"/>
          <w:szCs w:val="24"/>
        </w:rPr>
      </w:pPr>
    </w:p>
    <w:p w:rsidRDefault="006A6271" w:rsidP="006A6271" w:rsidR="006A6271" w:rsidRPr="006A6271">
      <w:pPr>
        <w:pStyle w:val="Bezproreda"/>
        <w:ind w:firstLine="708"/>
        <w:rPr>
          <w:sz w:val="24"/>
          <w:szCs w:val="24"/>
        </w:rPr>
      </w:pPr>
      <w:r w:rsidRPr="006A6271">
        <w:rPr>
          <w:sz w:val="24"/>
          <w:szCs w:val="24"/>
        </w:rPr>
        <w:t>Stoga je iz naprijed navedenog temeljem članka 342. u vezi s člankom 347. stavak 1. Zakona o parničnom postupku (»Narodne novine«  br. 53/91, 91/92, 58/93, 112/99, 88/01, 117/03, 88/05, 2/07, 84/08, 96/08, 123/08, 57/11, 148/11, 25/13</w:t>
      </w:r>
      <w:r w:rsidR="00CF6AA1">
        <w:rPr>
          <w:sz w:val="24"/>
          <w:szCs w:val="24"/>
        </w:rPr>
        <w:t xml:space="preserve"> i 89/14, u daljnjem tekstu ZPP</w:t>
      </w:r>
      <w:r w:rsidRPr="006A6271">
        <w:rPr>
          <w:sz w:val="24"/>
          <w:szCs w:val="24"/>
        </w:rPr>
        <w:t xml:space="preserve">) u vezi s člankom 6. Stečajnog zakona („Narodne novine“ broj 44/96, 29/99, 129/00, </w:t>
      </w:r>
      <w:r w:rsidRPr="006A6271">
        <w:rPr>
          <w:sz w:val="24"/>
          <w:szCs w:val="24"/>
        </w:rPr>
        <w:lastRenderedPageBreak/>
        <w:t>123/03, 82/06,  116/10, 25/12 i 133/12, u daljnjem tekstu SZ) valjalo riješiti kao u izreci ovog rješenja.</w:t>
      </w:r>
    </w:p>
    <w:p w:rsidRDefault="006A6271" w:rsidP="006A6271" w:rsidR="006A6271">
      <w:pPr>
        <w:pStyle w:val="Bezproreda"/>
        <w:rPr>
          <w:sz w:val="24"/>
          <w:szCs w:val="24"/>
        </w:rPr>
      </w:pPr>
    </w:p>
    <w:p w:rsidRDefault="006A6271" w:rsidP="006A6271" w:rsidR="006A6271" w:rsidRPr="006A6271">
      <w:pPr>
        <w:pStyle w:val="Bezproreda"/>
        <w:jc w:val="center"/>
        <w:rPr>
          <w:sz w:val="24"/>
          <w:szCs w:val="24"/>
        </w:rPr>
      </w:pPr>
      <w:r w:rsidRPr="006A6271">
        <w:rPr>
          <w:sz w:val="24"/>
          <w:szCs w:val="24"/>
        </w:rPr>
        <w:t>U Rijeci, 23. siječnja 2018.</w:t>
      </w:r>
    </w:p>
    <w:p w:rsidRDefault="006A6271" w:rsidP="006A6271" w:rsidR="006A6271">
      <w:pPr>
        <w:pStyle w:val="Bezproreda"/>
        <w:rPr>
          <w:sz w:val="24"/>
          <w:szCs w:val="24"/>
        </w:rPr>
      </w:pPr>
    </w:p>
    <w:p w:rsidRDefault="006A6271" w:rsidP="006A6271" w:rsidR="006A6271" w:rsidRPr="006A6271">
      <w:pPr>
        <w:pStyle w:val="Bezproreda"/>
        <w:ind w:left="7080"/>
        <w:rPr>
          <w:sz w:val="24"/>
          <w:szCs w:val="24"/>
        </w:rPr>
      </w:pPr>
      <w:r w:rsidRPr="006A6271">
        <w:rPr>
          <w:sz w:val="24"/>
          <w:szCs w:val="24"/>
        </w:rPr>
        <w:t xml:space="preserve">Stečajni sudac </w:t>
      </w:r>
    </w:p>
    <w:p w:rsidRDefault="006A6271" w:rsidP="006A6271" w:rsidR="006A6271" w:rsidRPr="006A6271">
      <w:pPr>
        <w:pStyle w:val="Bezproreda"/>
        <w:ind w:left="7080"/>
        <w:rPr>
          <w:sz w:val="24"/>
          <w:szCs w:val="24"/>
        </w:rPr>
      </w:pPr>
      <w:r w:rsidRPr="006A6271">
        <w:rPr>
          <w:sz w:val="24"/>
          <w:szCs w:val="24"/>
        </w:rPr>
        <w:t>Liljana Ugrin</w:t>
      </w:r>
      <w:r w:rsidR="00C354B0">
        <w:rPr>
          <w:sz w:val="24"/>
          <w:szCs w:val="24"/>
        </w:rPr>
        <w:t>, v.r.</w:t>
      </w:r>
    </w:p>
    <w:p w:rsidRDefault="006A6271" w:rsidP="006A6271" w:rsidR="006A6271" w:rsidRPr="006A6271">
      <w:pPr>
        <w:jc w:val="center"/>
        <w:rPr>
          <w:sz w:val="24"/>
          <w:szCs w:val="24"/>
        </w:rPr>
      </w:pPr>
    </w:p>
    <w:p w:rsidRDefault="006A6271" w:rsidP="006A6271" w:rsidR="006A6271">
      <w:pPr>
        <w:jc w:val="center"/>
        <w:rPr>
          <w:sz w:val="24"/>
          <w:szCs w:val="24"/>
        </w:rPr>
      </w:pPr>
    </w:p>
    <w:p w:rsidRDefault="00007EDF" w:rsidP="006A6271" w:rsidR="00007EDF" w:rsidRPr="006A6271">
      <w:pPr>
        <w:jc w:val="center"/>
        <w:rPr>
          <w:sz w:val="24"/>
          <w:szCs w:val="24"/>
        </w:rPr>
      </w:pPr>
    </w:p>
    <w:p w:rsidRDefault="006A6271" w:rsidP="00007EDF" w:rsidR="00007EDF">
      <w:pPr>
        <w:jc w:val="left"/>
        <w:rPr>
          <w:sz w:val="24"/>
          <w:szCs w:val="24"/>
        </w:rPr>
      </w:pPr>
      <w:r w:rsidRPr="006A6271">
        <w:rPr>
          <w:sz w:val="24"/>
          <w:szCs w:val="24"/>
        </w:rPr>
        <w:t xml:space="preserve">POUKA O PRAVNOM LIJEKU </w:t>
      </w:r>
    </w:p>
    <w:p w:rsidRDefault="006A6271" w:rsidP="00007EDF" w:rsidR="006A6271" w:rsidRPr="006A6271">
      <w:pPr>
        <w:jc w:val="left"/>
        <w:rPr>
          <w:sz w:val="24"/>
          <w:szCs w:val="24"/>
        </w:rPr>
      </w:pPr>
      <w:r w:rsidRPr="006A6271">
        <w:rPr>
          <w:sz w:val="24"/>
          <w:szCs w:val="24"/>
        </w:rPr>
        <w:t>Protiv ovog rješenja nezadovoljna stranka može uložiti žalbu. Žalba se podnosi ovom sudu u 3 primjerka u roku od 8 dana od dana primitka rješenja, a o žalbi rješava Visoki trgovački sud Republike Hrvatske u Zagrebu.</w:t>
      </w:r>
    </w:p>
    <w:p w:rsidRDefault="00C354B0" w:rsidP="00C354B0" w:rsidR="00C354B0" w:rsidRPr="00C354B0">
      <w:pPr>
        <w:spacing w:lineRule="auto" w:line="240" w:after="0"/>
        <w:ind w:firstLine="708" w:left="4248"/>
        <w:rPr>
          <w:sz w:val="24"/>
          <w:szCs w:val="24"/>
        </w:rPr>
      </w:pPr>
      <w:r>
        <w:rPr>
          <w:sz w:val="24"/>
          <w:szCs w:val="24"/>
        </w:rPr>
        <w:t xml:space="preserve">Za točnost otpravka </w:t>
      </w:r>
      <w:r w:rsidRPr="00C354B0">
        <w:rPr>
          <w:sz w:val="24"/>
          <w:szCs w:val="24"/>
        </w:rPr>
        <w:t>ovlašteni službenik</w:t>
      </w:r>
      <w:r>
        <w:rPr>
          <w:sz w:val="24"/>
          <w:szCs w:val="24"/>
        </w:rPr>
        <w:t>:</w:t>
      </w:r>
    </w:p>
    <w:p w:rsidRDefault="00C354B0" w:rsidP="00C354B0" w:rsidR="00C354B0" w:rsidRPr="00C354B0">
      <w:pPr>
        <w:spacing w:lineRule="auto" w:line="240" w:after="0"/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354B0">
        <w:rPr>
          <w:sz w:val="24"/>
          <w:szCs w:val="24"/>
        </w:rPr>
        <w:t>Elizabet Jovanović</w:t>
      </w:r>
    </w:p>
    <w:p w:rsidRDefault="006C3E1F" w:rsidP="006C3E1F" w:rsidR="006C3E1F" w:rsidRPr="00C354B0">
      <w:pPr>
        <w:jc w:val="center"/>
        <w:rPr>
          <w:sz w:val="24"/>
          <w:szCs w:val="24"/>
        </w:rPr>
      </w:pPr>
    </w:p>
    <w:p w:rsidRDefault="006C3E1F" w:rsidP="006C3E1F" w:rsidR="006C3E1F" w:rsidRPr="006C3E1F">
      <w:pPr>
        <w:rPr>
          <w:sz w:val="24"/>
          <w:szCs w:val="24"/>
        </w:rPr>
      </w:pPr>
    </w:p>
    <w:p w:rsidRDefault="006C3E1F" w:rsidP="006C3E1F" w:rsidR="006C3E1F" w:rsidRPr="006C3E1F">
      <w:pPr>
        <w:rPr>
          <w:sz w:val="24"/>
          <w:szCs w:val="24"/>
        </w:rPr>
      </w:pPr>
    </w:p>
    <w:sectPr w:rsidSect="00CF6AA1" w:rsidR="006C3E1F" w:rsidRPr="006C3E1F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B4B" w:rsidP="006C3E1F" w:rsidR="00564B4B">
      <w:pPr>
        <w:spacing w:lineRule="auto" w:line="240" w:after="0"/>
      </w:pPr>
      <w:r>
        <w:separator/>
      </w:r>
    </w:p>
  </w:endnote>
  <w:endnote w:id="0" w:type="continuationSeparator">
    <w:p w:rsidRDefault="00564B4B" w:rsidP="006C3E1F" w:rsidR="00564B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2899778"/>
      <w:docPartObj>
        <w:docPartGallery w:val="Page Numbers (Bottom of Page)"/>
        <w:docPartUnique/>
      </w:docPartObj>
    </w:sdtPr>
    <w:sdtEndPr/>
    <w:sdtContent>
      <w:p w:rsidRDefault="00C354B0" w:rsidR="00C354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78F">
          <w:rPr>
            <w:noProof/>
          </w:rPr>
          <w:t>2</w:t>
        </w:r>
        <w:r>
          <w:fldChar w:fldCharType="end"/>
        </w:r>
      </w:p>
    </w:sdtContent>
  </w:sdt>
  <w:p w:rsidRDefault="00C354B0" w:rsidR="00C354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B4B" w:rsidP="006C3E1F" w:rsidR="00564B4B">
      <w:pPr>
        <w:spacing w:lineRule="auto" w:line="240" w:after="0"/>
      </w:pPr>
      <w:r>
        <w:separator/>
      </w:r>
    </w:p>
  </w:footnote>
  <w:footnote w:id="0" w:type="continuationSeparator">
    <w:p w:rsidRDefault="00564B4B" w:rsidP="006C3E1F" w:rsidR="00564B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AA1" w:rsidP="00CF6AA1" w:rsidR="00CF6AA1">
    <w:pPr>
      <w:pStyle w:val="Zaglavlje"/>
      <w:jc w:val="right"/>
    </w:pPr>
    <w:r>
      <w:rPr>
        <w:sz w:val="24"/>
        <w:szCs w:val="24"/>
      </w:rPr>
      <w:t>Poslovni broj 7 St-1039/2011-585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1F"/>
    <w:rsid w:val="00007EDF"/>
    <w:rsid w:val="000A5CAD"/>
    <w:rsid w:val="003B5246"/>
    <w:rsid w:val="004624D4"/>
    <w:rsid w:val="004B6DF4"/>
    <w:rsid w:val="004D180D"/>
    <w:rsid w:val="00564B4B"/>
    <w:rsid w:val="005C683A"/>
    <w:rsid w:val="006A6271"/>
    <w:rsid w:val="006C3E1F"/>
    <w:rsid w:val="007D1DE4"/>
    <w:rsid w:val="008768DD"/>
    <w:rsid w:val="008E4590"/>
    <w:rsid w:val="00A009B9"/>
    <w:rsid w:val="00C21785"/>
    <w:rsid w:val="00C354B0"/>
    <w:rsid w:val="00CF6AA1"/>
    <w:rsid w:val="00E3678F"/>
    <w:rsid w:val="00FB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cs="Tahoma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lineRule="auto" w:line="240" w:after="0"/>
      <w:jc w:val="left"/>
    </w:pPr>
    <w:rPr>
      <w:rFonts w:cs="Courier New" w:hAnsi="Courier New" w:ascii="Courier New"/>
      <w:sz w:val="24"/>
    </w:rPr>
  </w:style>
  <w:style w:customStyle="true" w:styleId="ObinitekstChar" w:type="character">
    <w:name w:val="Obični tekst Char"/>
    <w:basedOn w:val="Zadanifontodlomka"/>
    <w:link w:val="Obinitekst"/>
    <w:rsid w:val="008768DD"/>
    <w:rPr>
      <w:rFonts w:cs="Courier New" w:hAnsi="Courier New" w:ascii="Courier New"/>
      <w:lang w:eastAsia="hr-HR"/>
    </w:rPr>
  </w:style>
  <w:style w:styleId="Bezproreda" w:type="paragraph">
    <w:name w:val="No Spacing"/>
    <w:uiPriority w:val="1"/>
    <w:qFormat/>
    <w:rsid w:val="008768D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7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ascii="Tahoma" w:cs="Tahoma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after="0" w:line="240" w:lineRule="auto"/>
      <w:jc w:val="left"/>
    </w:pPr>
    <w:rPr>
      <w:rFonts w:ascii="Courier New" w:cs="Courier New" w:hAnsi="Courier New"/>
      <w:sz w:val="24"/>
    </w:rPr>
  </w:style>
  <w:style w:customStyle="1" w:styleId="ObinitekstChar" w:type="character">
    <w:name w:val="Obični tekst Char"/>
    <w:basedOn w:val="Zadanifontodlomka"/>
    <w:link w:val="Obinitekst"/>
    <w:rsid w:val="008768DD"/>
    <w:rPr>
      <w:rFonts w:ascii="Courier New" w:cs="Courier New" w:hAnsi="Courier New"/>
      <w:lang w:eastAsia="hr-HR"/>
    </w:rPr>
  </w:style>
  <w:style w:styleId="Bezproreda" w:type="paragraph">
    <w:name w:val="No Spacing"/>
    <w:uiPriority w:val="1"/>
    <w:qFormat/>
    <w:rsid w:val="008768D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7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7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7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7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1843</properties:Characters>
  <properties:Lines>64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2018-01-23T12:58:00Z</dcterms:created>
  <dc:creator>Liljana Ugrin</dc:creator>
  <cp:lastModifiedBy>Elizabet Jovanović</cp:lastModifiedBy>
  <cp:lastPrinted>2018-01-23T12:59:00Z</cp:lastPrinted>
  <dcterms:modified xmlns:xsi="http://www.w3.org/2001/XMLSchema-instance" xsi:type="dcterms:W3CDTF">2018-01-23T13:12:00Z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