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ed85" w14:paraId="ed7ed85" w:rsidRDefault="006C02EF" w:rsidP="006C02EF" w:rsidR="006C02EF" w:rsidRPr="0014227B">
      <w:pPr>
        <w:jc w:val="both"/>
        <w15:collapsed w:val="false"/>
        <w:rPr>
          <w:rFonts w:hAnsi="Times New Roman" w:ascii="Times New Roman"/>
          <w:szCs w:val="24"/>
          <w:lang w:val="hr-HR"/>
        </w:rPr>
      </w:pPr>
      <w:bookmarkStart w:name="_GoBack" w:id="0"/>
      <w:bookmarkEnd w:id="0"/>
      <w:r w:rsidRPr="0014227B">
        <w:rPr>
          <w:rFonts w:hAnsi="Times New Roman" w:ascii="Times New Roman"/>
          <w:szCs w:val="24"/>
          <w:lang w:val="hr-HR"/>
        </w:rPr>
        <w:t xml:space="preserve">       REPUBLIKA HRVATSKA</w:t>
      </w: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TRGOVAČKI SUD U VARAŽDINU</w:t>
      </w:r>
      <w:r w:rsidRPr="0014227B">
        <w:rPr>
          <w:rFonts w:hAnsi="Times New Roman" w:ascii="Times New Roman"/>
          <w:szCs w:val="24"/>
          <w:lang w:val="hr-HR"/>
        </w:rPr>
        <w:tab/>
      </w:r>
    </w:p>
    <w:p w:rsidRDefault="006C02EF" w:rsidP="006C02EF" w:rsidR="006C02EF" w:rsidRPr="006C02E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6C02EF" w:rsidP="006C02EF" w:rsidR="006C02EF" w:rsidRPr="00E33CCB">
      <w:pPr>
        <w:jc w:val="center"/>
        <w:rPr>
          <w:rFonts w:hAnsi="Times New Roman" w:ascii="Times New Roman"/>
          <w:szCs w:val="24"/>
          <w:lang w:val="hr-HR"/>
        </w:rPr>
      </w:pPr>
      <w:r w:rsidRPr="00E33CCB">
        <w:rPr>
          <w:rFonts w:hAnsi="Times New Roman" w:ascii="Times New Roman"/>
          <w:b/>
          <w:szCs w:val="24"/>
          <w:lang w:val="hr-HR"/>
        </w:rPr>
        <w:t>Z A P I S N I K</w:t>
      </w:r>
    </w:p>
    <w:p w:rsidRDefault="006C02EF" w:rsidP="006C02EF" w:rsidR="006C02EF" w:rsidRPr="00E33CCB">
      <w:pPr>
        <w:jc w:val="center"/>
        <w:rPr>
          <w:rFonts w:hAnsi="Times New Roman" w:ascii="Times New Roman"/>
          <w:szCs w:val="24"/>
          <w:lang w:val="hr-HR"/>
        </w:rPr>
      </w:pPr>
      <w:r w:rsidRPr="00E33CCB">
        <w:rPr>
          <w:rFonts w:hAnsi="Times New Roman" w:ascii="Times New Roman"/>
          <w:szCs w:val="24"/>
          <w:lang w:val="hr-HR"/>
        </w:rPr>
        <w:t>od 4. siječnja 2017. godine</w:t>
      </w:r>
    </w:p>
    <w:p w:rsidRDefault="006C02EF" w:rsidP="006C02EF" w:rsidR="006C02EF" w:rsidRPr="00E33CCB">
      <w:pPr>
        <w:jc w:val="center"/>
        <w:rPr>
          <w:rFonts w:hAnsi="Times New Roman" w:ascii="Times New Roman"/>
          <w:szCs w:val="24"/>
          <w:lang w:val="hr-HR"/>
        </w:rPr>
      </w:pPr>
      <w:r w:rsidRPr="00E33CCB">
        <w:rPr>
          <w:rFonts w:hAnsi="Times New Roman" w:ascii="Times New Roman"/>
          <w:szCs w:val="24"/>
          <w:lang w:val="hr-HR"/>
        </w:rPr>
        <w:t>sastavljen kod Trgovačkog suda u Varaždinu,</w:t>
      </w:r>
    </w:p>
    <w:p w:rsidRDefault="006C02EF" w:rsidP="006C02EF" w:rsidR="006C02EF" w:rsidRPr="00E33CCB">
      <w:pPr>
        <w:jc w:val="center"/>
        <w:rPr>
          <w:rFonts w:hAnsi="Times New Roman" w:ascii="Times New Roman"/>
          <w:szCs w:val="24"/>
          <w:lang w:val="hr-HR"/>
        </w:rPr>
      </w:pPr>
      <w:r w:rsidRPr="00E33CCB">
        <w:rPr>
          <w:rFonts w:hAnsi="Times New Roman" w:ascii="Times New Roman"/>
          <w:szCs w:val="24"/>
          <w:lang w:val="hr-HR"/>
        </w:rPr>
        <w:t>o održanom ispitnom ročištu u stečajnom postupku</w:t>
      </w:r>
    </w:p>
    <w:p w:rsidRDefault="006C02EF" w:rsidP="006C02EF" w:rsidR="006C02EF" w:rsidRPr="00E33CCB">
      <w:pPr>
        <w:jc w:val="center"/>
        <w:rPr>
          <w:rFonts w:hAnsi="Times New Roman" w:ascii="Times New Roman"/>
          <w:szCs w:val="24"/>
          <w:lang w:val="hr-HR"/>
        </w:rPr>
      </w:pPr>
      <w:r w:rsidRPr="00E33CCB">
        <w:rPr>
          <w:rFonts w:hAnsi="Times New Roman" w:ascii="Times New Roman"/>
          <w:szCs w:val="24"/>
          <w:lang w:val="hr-HR"/>
        </w:rPr>
        <w:t xml:space="preserve">nad dužnikom </w:t>
      </w:r>
      <w:r w:rsidRPr="00E33CCB">
        <w:rPr>
          <w:rFonts w:hAnsi="Times New Roman" w:ascii="Times New Roman"/>
          <w:lang w:val="hr-HR"/>
        </w:rPr>
        <w:t>N.T.L. d.o.o., Čakovec, Putjane 77, OIB: 69837829454</w:t>
      </w:r>
    </w:p>
    <w:p w:rsidRDefault="006C02EF" w:rsidP="006C02EF" w:rsidR="006C02EF" w:rsidRPr="0014227B">
      <w:pPr>
        <w:jc w:val="both"/>
        <w:rPr>
          <w:rFonts w:hAnsi="Times New Roman" w:ascii="Times New Roman"/>
          <w:szCs w:val="24"/>
          <w:lang w:val="hr-HR"/>
        </w:rPr>
      </w:pPr>
    </w:p>
    <w:p w:rsidRDefault="006C02EF" w:rsidP="006C02EF" w:rsidR="006C02EF" w:rsidRPr="0014227B">
      <w:pPr>
        <w:jc w:val="both"/>
        <w:rPr>
          <w:rFonts w:hAnsi="Times New Roman" w:ascii="Times New Roman"/>
          <w:szCs w:val="24"/>
          <w:lang w:val="hr-HR"/>
        </w:rPr>
      </w:pP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NAZOČNI OD STRANE SUDA:</w:t>
      </w: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Sudac: Ksenija Flack-Makitan</w:t>
      </w: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Zapisničar: Lea Rogina</w:t>
      </w:r>
    </w:p>
    <w:p w:rsidRDefault="006C02EF" w:rsidP="006C02EF" w:rsidR="006C02EF" w:rsidRPr="0014227B">
      <w:pPr>
        <w:jc w:val="both"/>
        <w:rPr>
          <w:rFonts w:hAnsi="Times New Roman" w:ascii="Times New Roman"/>
          <w:szCs w:val="24"/>
          <w:lang w:val="hr-HR"/>
        </w:rPr>
      </w:pPr>
    </w:p>
    <w:p w:rsidRDefault="006C02EF" w:rsidP="006C02EF" w:rsidR="006C02EF" w:rsidRPr="0014227B">
      <w:pPr>
        <w:ind w:firstLine="720"/>
        <w:jc w:val="both"/>
        <w:rPr>
          <w:rFonts w:hAnsi="Times New Roman" w:ascii="Times New Roman"/>
          <w:szCs w:val="24"/>
          <w:lang w:val="hr-HR"/>
        </w:rPr>
      </w:pPr>
      <w:r w:rsidRPr="0014227B">
        <w:rPr>
          <w:rFonts w:hAnsi="Times New Roman" w:ascii="Times New Roman"/>
          <w:szCs w:val="24"/>
          <w:lang w:val="hr-HR"/>
        </w:rPr>
        <w:t xml:space="preserve">Početak u </w:t>
      </w:r>
      <w:r>
        <w:rPr>
          <w:rFonts w:hAnsi="Times New Roman" w:ascii="Times New Roman"/>
          <w:szCs w:val="24"/>
          <w:lang w:val="hr-HR"/>
        </w:rPr>
        <w:t xml:space="preserve">13,00 </w:t>
      </w:r>
      <w:r w:rsidRPr="0014227B">
        <w:rPr>
          <w:rFonts w:hAnsi="Times New Roman" w:ascii="Times New Roman"/>
          <w:szCs w:val="24"/>
          <w:lang w:val="hr-HR"/>
        </w:rPr>
        <w:t>sati.</w:t>
      </w:r>
    </w:p>
    <w:p w:rsidRDefault="006C02EF" w:rsidP="006C02EF" w:rsidR="006C02EF" w:rsidRPr="0014227B">
      <w:pPr>
        <w:jc w:val="both"/>
        <w:rPr>
          <w:rFonts w:hAnsi="Times New Roman" w:ascii="Times New Roman"/>
          <w:szCs w:val="24"/>
          <w:lang w:val="hr-HR"/>
        </w:rPr>
      </w:pP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PRISUTNI:</w:t>
      </w: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 xml:space="preserve">-stečajni upravitelj </w:t>
      </w:r>
      <w:r>
        <w:rPr>
          <w:rFonts w:hAnsi="Times New Roman" w:ascii="Times New Roman"/>
          <w:szCs w:val="24"/>
          <w:lang w:val="hr-HR"/>
        </w:rPr>
        <w:t>Dragutin Romić</w:t>
      </w: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-zastupnica Republike Hrvatske, zamjenica Županijskog državnog odvjetnika u Varaždinu, Građansko-upravni odjel, Tanja Purić-Stamenković,</w:t>
      </w:r>
    </w:p>
    <w:p w:rsidRDefault="006C02EF" w:rsidP="006C02EF" w:rsidR="006C02EF">
      <w:pPr>
        <w:jc w:val="both"/>
        <w:rPr>
          <w:rFonts w:hAnsi="Times New Roman" w:ascii="Times New Roman"/>
          <w:szCs w:val="24"/>
          <w:lang w:val="hr-HR"/>
        </w:rPr>
      </w:pPr>
      <w:r w:rsidRPr="0014227B">
        <w:rPr>
          <w:rFonts w:hAnsi="Times New Roman" w:ascii="Times New Roman"/>
          <w:szCs w:val="24"/>
          <w:lang w:val="hr-HR"/>
        </w:rPr>
        <w:t>-</w:t>
      </w:r>
      <w:r>
        <w:rPr>
          <w:rFonts w:hAnsi="Times New Roman" w:ascii="Times New Roman"/>
          <w:szCs w:val="24"/>
          <w:lang w:val="hr-HR"/>
        </w:rPr>
        <w:t xml:space="preserve"> za vjerovnika Hrvatske šume d.o.o., Zagreb, zamjenica punomoćnika Željka Mance, odvjetnica iz Varaždina, koja predaje u spis zamjeničku punomoć,</w:t>
      </w:r>
    </w:p>
    <w:p w:rsidRDefault="006C02EF" w:rsidP="006C02EF" w:rsidR="006C02EF">
      <w:pPr>
        <w:jc w:val="both"/>
        <w:rPr>
          <w:rFonts w:hAnsi="Times New Roman" w:ascii="Times New Roman"/>
          <w:szCs w:val="24"/>
          <w:lang w:val="hr-HR"/>
        </w:rPr>
      </w:pPr>
      <w:r>
        <w:rPr>
          <w:rFonts w:hAnsi="Times New Roman" w:ascii="Times New Roman"/>
          <w:szCs w:val="24"/>
          <w:lang w:val="hr-HR"/>
        </w:rPr>
        <w:t>-za vjerovnika Zagorje-Tehnobeton d.d. Varaždin, punomoćnica Petra Mohorić, odvjetnička vježbenica kod odvjetnika Domagoja Crnogorac,</w:t>
      </w:r>
    </w:p>
    <w:p w:rsidRDefault="006C02EF" w:rsidP="006C02EF" w:rsidR="006C02EF" w:rsidRPr="0014227B">
      <w:pPr>
        <w:jc w:val="both"/>
        <w:rPr>
          <w:rFonts w:hAnsi="Times New Roman" w:ascii="Times New Roman"/>
          <w:szCs w:val="24"/>
          <w:lang w:val="hr-HR"/>
        </w:rPr>
      </w:pPr>
      <w:r>
        <w:rPr>
          <w:rFonts w:hAnsi="Times New Roman" w:ascii="Times New Roman"/>
          <w:szCs w:val="24"/>
          <w:lang w:val="hr-HR"/>
        </w:rPr>
        <w:t>-za vjerovnika INA-Industrija nafte d.d., Zagreb, punomoćnica Ervina Karabegović, odvjetnička vježbenica u Odvjetničkom uredu Ilić, Orehovec i partneri iz Zagreba</w:t>
      </w:r>
    </w:p>
    <w:p w:rsidRDefault="006C02EF" w:rsidP="006C02EF" w:rsidR="006C02EF" w:rsidRPr="0014227B">
      <w:pPr>
        <w:jc w:val="both"/>
        <w:rPr>
          <w:rFonts w:hAnsi="Times New Roman" w:ascii="Times New Roman"/>
          <w:szCs w:val="24"/>
          <w:lang w:val="hr-HR"/>
        </w:rPr>
      </w:pPr>
    </w:p>
    <w:p w:rsidRDefault="006C02EF" w:rsidP="006C02EF" w:rsidR="006C02EF" w:rsidRPr="0014227B">
      <w:pPr>
        <w:jc w:val="both"/>
        <w:rPr>
          <w:rFonts w:hAnsi="Times New Roman" w:ascii="Times New Roman"/>
          <w:szCs w:val="24"/>
          <w:lang w:val="hr-HR"/>
        </w:rPr>
      </w:pPr>
    </w:p>
    <w:p w:rsidRDefault="006C02EF" w:rsidP="006C02EF" w:rsidR="006C02EF" w:rsidRPr="0014227B">
      <w:pPr>
        <w:jc w:val="both"/>
        <w:rPr>
          <w:rFonts w:hAnsi="Times New Roman" w:ascii="Times New Roman"/>
          <w:szCs w:val="24"/>
          <w:lang w:val="hr-HR"/>
        </w:rPr>
      </w:pPr>
      <w:r w:rsidRPr="0014227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14227B">
      <w:pPr>
        <w:jc w:val="both"/>
        <w:rPr>
          <w:rFonts w:hAnsi="Times New Roman" w:ascii="Times New Roman"/>
          <w:szCs w:val="24"/>
          <w:lang w:val="hr-HR"/>
        </w:rPr>
      </w:pPr>
    </w:p>
    <w:p w:rsidRDefault="006C02EF" w:rsidP="006C02EF" w:rsidR="006C02EF" w:rsidRPr="0014227B">
      <w:pPr>
        <w:ind w:firstLine="720"/>
        <w:jc w:val="both"/>
        <w:rPr>
          <w:rFonts w:hAnsi="Times New Roman" w:ascii="Times New Roman"/>
          <w:szCs w:val="24"/>
          <w:lang w:val="hr-HR"/>
        </w:rPr>
      </w:pPr>
      <w:r w:rsidRPr="0014227B">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6C02EF" w:rsidR="006C02EF">
      <w:pPr>
        <w:rPr>
          <w:lang w:val="hr-HR"/>
        </w:rPr>
      </w:pPr>
    </w:p>
    <w:p w:rsidRDefault="006C02EF" w:rsidP="006C02EF" w:rsidR="006C02EF">
      <w:pPr>
        <w:ind w:firstLine="720"/>
        <w:jc w:val="both"/>
        <w:rPr>
          <w:rFonts w:hAnsi="Times New Roman" w:ascii="Times New Roman"/>
          <w:szCs w:val="24"/>
          <w:lang w:val="hr-HR"/>
        </w:rPr>
      </w:pPr>
      <w:r w:rsidRPr="0014227B">
        <w:rPr>
          <w:rFonts w:hAnsi="Times New Roman" w:ascii="Times New Roman"/>
          <w:szCs w:val="24"/>
          <w:lang w:val="hr-HR"/>
        </w:rPr>
        <w:t>PRVI VIŠI ISPLATNI RED</w:t>
      </w:r>
    </w:p>
    <w:p w:rsidRDefault="006C02EF" w:rsidP="006C02EF" w:rsidR="006C02EF">
      <w:pPr>
        <w:ind w:firstLine="720"/>
        <w:jc w:val="both"/>
        <w:rPr>
          <w:rFonts w:hAnsi="Times New Roman" w:ascii="Times New Roman"/>
          <w:szCs w:val="24"/>
          <w:lang w:val="hr-HR"/>
        </w:rPr>
      </w:pPr>
    </w:p>
    <w:p w:rsidRDefault="006C02EF" w:rsidP="006C02EF" w:rsidR="006C02EF" w:rsidRPr="0014227B">
      <w:pPr>
        <w:ind w:firstLine="720"/>
        <w:jc w:val="both"/>
        <w:rPr>
          <w:rFonts w:hAnsi="Times New Roman" w:ascii="Times New Roman"/>
          <w:szCs w:val="24"/>
          <w:lang w:val="hr-HR"/>
        </w:rPr>
      </w:pPr>
    </w:p>
    <w:tbl>
      <w:tblPr>
        <w:tblW w:type="dxa" w:w="7700"/>
        <w:tblInd w:type="dxa" w:w="93"/>
        <w:tblLook w:val="04A0" w:noVBand="1" w:noHBand="0" w:lastColumn="0" w:firstColumn="1" w:lastRow="0" w:firstRow="1"/>
      </w:tblPr>
      <w:tblGrid>
        <w:gridCol w:w="560"/>
        <w:gridCol w:w="1840"/>
        <w:gridCol w:w="1120"/>
        <w:gridCol w:w="1360"/>
        <w:gridCol w:w="1300"/>
        <w:gridCol w:w="1520"/>
      </w:tblGrid>
      <w:tr w:rsidTr="008601E2" w:rsidR="006C02EF" w:rsidRPr="00957B6C">
        <w:trPr>
          <w:trHeight w:val="225"/>
        </w:trPr>
        <w:tc>
          <w:tcPr>
            <w:tcW w:type="dxa" w:w="56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R.br.</w:t>
            </w:r>
          </w:p>
        </w:tc>
        <w:tc>
          <w:tcPr>
            <w:tcW w:type="dxa" w:w="184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Ime i prezime vjerovnika</w:t>
            </w:r>
          </w:p>
        </w:tc>
        <w:tc>
          <w:tcPr>
            <w:tcW w:type="dxa" w:w="112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OIB vjerovnika</w:t>
            </w:r>
          </w:p>
        </w:tc>
        <w:tc>
          <w:tcPr>
            <w:tcW w:type="dxa" w:w="136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Adresa / sjedište vjerovnika</w:t>
            </w:r>
          </w:p>
        </w:tc>
        <w:tc>
          <w:tcPr>
            <w:tcW w:type="dxa" w:w="130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 xml:space="preserve">Iznos prijavljene </w:t>
            </w:r>
            <w:r>
              <w:rPr>
                <w:rFonts w:cs="Arial" w:hAnsi="Calibri" w:ascii="Calibri"/>
                <w:b/>
                <w:bCs/>
                <w:snapToGrid/>
                <w:color w:val="000000"/>
                <w:sz w:val="16"/>
                <w:szCs w:val="16"/>
                <w:lang w:eastAsia="hr-HR" w:val="hr-HR"/>
              </w:rPr>
              <w:t xml:space="preserve">i priznate </w:t>
            </w:r>
            <w:r w:rsidRPr="00957B6C">
              <w:rPr>
                <w:rFonts w:cs="Arial" w:hAnsi="Calibri" w:ascii="Calibri"/>
                <w:b/>
                <w:bCs/>
                <w:snapToGrid/>
                <w:color w:val="000000"/>
                <w:sz w:val="16"/>
                <w:szCs w:val="16"/>
                <w:lang w:eastAsia="hr-HR" w:val="hr-HR"/>
              </w:rPr>
              <w:t>tražbine (kn)</w:t>
            </w:r>
          </w:p>
        </w:tc>
        <w:tc>
          <w:tcPr>
            <w:tcW w:type="dxa" w:w="1520"/>
            <w:vMerge w:val="restart"/>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Pravna osnova prijavljene tražbine</w:t>
            </w:r>
          </w:p>
        </w:tc>
      </w:tr>
      <w:tr w:rsidTr="008601E2" w:rsidR="006C02EF" w:rsidRPr="00957B6C">
        <w:trPr>
          <w:trHeight w:val="225"/>
        </w:trPr>
        <w:tc>
          <w:tcPr>
            <w:tcW w:type="dxa" w:w="56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84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12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36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30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52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r>
      <w:tr w:rsidTr="008601E2" w:rsidR="006C02EF" w:rsidRPr="00957B6C">
        <w:trPr>
          <w:trHeight w:val="225"/>
        </w:trPr>
        <w:tc>
          <w:tcPr>
            <w:tcW w:type="dxa" w:w="56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84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12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36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30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c>
          <w:tcPr>
            <w:tcW w:type="dxa" w:w="1520"/>
            <w:vMerge/>
            <w:tcBorders>
              <w:top w:space="0" w:sz="4" w:color="auto" w:val="single"/>
              <w:left w:space="0" w:sz="4" w:color="auto" w:val="single"/>
              <w:bottom w:space="0" w:sz="4" w:color="auto" w:val="single"/>
              <w:right w:space="0" w:sz="4" w:color="auto" w:val="single"/>
            </w:tcBorders>
            <w:vAlign w:val="center"/>
            <w:hideMark/>
          </w:tcPr>
          <w:p w:rsidRDefault="006C02EF" w:rsidP="008601E2" w:rsidR="006C02EF" w:rsidRPr="00957B6C">
            <w:pPr>
              <w:widowControl/>
              <w:rPr>
                <w:rFonts w:cs="Arial" w:hAnsi="Calibri" w:ascii="Calibri"/>
                <w:b/>
                <w:bCs/>
                <w:snapToGrid/>
                <w:color w:val="000000"/>
                <w:sz w:val="16"/>
                <w:szCs w:val="16"/>
                <w:lang w:eastAsia="hr-HR" w:val="hr-HR"/>
              </w:rPr>
            </w:pPr>
          </w:p>
        </w:tc>
      </w:tr>
      <w:tr w:rsidTr="008601E2" w:rsidR="006C02EF" w:rsidRPr="00FF642A">
        <w:trPr>
          <w:trHeight w:val="1125"/>
        </w:trPr>
        <w:tc>
          <w:tcPr>
            <w:tcW w:type="dxa" w:w="560"/>
            <w:tcBorders>
              <w:top w:val="nil"/>
              <w:left w:space="0" w:sz="4" w:color="auto" w:val="single"/>
              <w:bottom w:space="0" w:sz="4" w:color="auto" w:val="single"/>
              <w:right w:space="0" w:sz="4" w:color="auto" w:val="single"/>
            </w:tcBorders>
            <w:shd w:fill="auto" w:color="auto" w:val="clear"/>
            <w:vAlign w:val="center"/>
            <w:hideMark/>
          </w:tcPr>
          <w:p w:rsidRDefault="006C02EF" w:rsidP="008601E2" w:rsidR="006C02EF" w:rsidRPr="00957B6C">
            <w:pPr>
              <w:widowControl/>
              <w:jc w:val="center"/>
              <w:rPr>
                <w:rFonts w:cs="Arial" w:hAnsi="Calibri" w:ascii="Calibri"/>
                <w:b/>
                <w:bCs/>
                <w:snapToGrid/>
                <w:color w:val="000000"/>
                <w:sz w:val="16"/>
                <w:szCs w:val="16"/>
                <w:lang w:eastAsia="hr-HR" w:val="hr-HR"/>
              </w:rPr>
            </w:pPr>
            <w:r w:rsidRPr="00957B6C">
              <w:rPr>
                <w:rFonts w:cs="Arial" w:hAnsi="Calibri" w:ascii="Calibri"/>
                <w:b/>
                <w:bCs/>
                <w:snapToGrid/>
                <w:color w:val="000000"/>
                <w:sz w:val="16"/>
                <w:szCs w:val="16"/>
                <w:lang w:eastAsia="hr-HR" w:val="hr-HR"/>
              </w:rPr>
              <w:t>1</w:t>
            </w:r>
          </w:p>
        </w:tc>
        <w:tc>
          <w:tcPr>
            <w:tcW w:type="dxa" w:w="1840"/>
            <w:tcBorders>
              <w:top w:val="nil"/>
              <w:left w:val="nil"/>
              <w:bottom w:space="0" w:sz="4" w:color="auto" w:val="single"/>
              <w:right w:space="0" w:sz="4" w:color="auto" w:val="single"/>
            </w:tcBorders>
            <w:shd w:fill="FFFFFF" w:color="000000" w:val="clear"/>
            <w:vAlign w:val="center"/>
            <w:hideMark/>
          </w:tcPr>
          <w:p w:rsidRDefault="006C02EF" w:rsidP="008601E2" w:rsidR="006C02EF" w:rsidRPr="00957B6C">
            <w:pPr>
              <w:widowControl/>
              <w:rPr>
                <w:rFonts w:cs="Arial" w:hAnsi="Calibri" w:ascii="Calibri"/>
                <w:snapToGrid/>
                <w:sz w:val="16"/>
                <w:szCs w:val="16"/>
                <w:lang w:eastAsia="hr-HR" w:val="hr-HR"/>
              </w:rPr>
            </w:pPr>
            <w:r w:rsidRPr="00957B6C">
              <w:rPr>
                <w:rFonts w:cs="Arial" w:hAnsi="Calibri" w:ascii="Calibri"/>
                <w:snapToGrid/>
                <w:sz w:val="16"/>
                <w:szCs w:val="16"/>
                <w:lang w:eastAsia="hr-HR" w:val="hr-HR"/>
              </w:rPr>
              <w:t>Republika Hrvatska, Ministarstvo financija, Porezna uprava, Područni ured sjeverna Hrvatska</w:t>
            </w:r>
          </w:p>
        </w:tc>
        <w:tc>
          <w:tcPr>
            <w:tcW w:type="dxa" w:w="1120"/>
            <w:tcBorders>
              <w:top w:val="nil"/>
              <w:left w:val="nil"/>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snapToGrid/>
                <w:sz w:val="16"/>
                <w:szCs w:val="16"/>
                <w:lang w:eastAsia="hr-HR" w:val="hr-HR"/>
              </w:rPr>
            </w:pPr>
            <w:r w:rsidRPr="00957B6C">
              <w:rPr>
                <w:rFonts w:cs="Arial" w:hAnsi="Calibri" w:ascii="Calibri"/>
                <w:snapToGrid/>
                <w:sz w:val="16"/>
                <w:szCs w:val="16"/>
                <w:lang w:eastAsia="hr-HR" w:val="hr-HR"/>
              </w:rPr>
              <w:t>52634238587</w:t>
            </w:r>
          </w:p>
        </w:tc>
        <w:tc>
          <w:tcPr>
            <w:tcW w:type="dxa" w:w="1360"/>
            <w:tcBorders>
              <w:top w:val="nil"/>
              <w:left w:val="nil"/>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snapToGrid/>
                <w:sz w:val="16"/>
                <w:szCs w:val="16"/>
                <w:lang w:eastAsia="hr-HR" w:val="hr-HR"/>
              </w:rPr>
            </w:pPr>
            <w:r w:rsidRPr="00957B6C">
              <w:rPr>
                <w:rFonts w:cs="Arial" w:hAnsi="Calibri" w:ascii="Calibri"/>
                <w:snapToGrid/>
                <w:sz w:val="16"/>
                <w:szCs w:val="16"/>
                <w:lang w:eastAsia="hr-HR" w:val="hr-HR"/>
              </w:rPr>
              <w:t>Grabarje 1, 42000 Varaždin</w:t>
            </w:r>
          </w:p>
        </w:tc>
        <w:tc>
          <w:tcPr>
            <w:tcW w:type="dxa" w:w="1300"/>
            <w:tcBorders>
              <w:top w:val="nil"/>
              <w:left w:val="nil"/>
              <w:bottom w:space="0" w:sz="4" w:color="auto" w:val="single"/>
              <w:right w:space="0" w:sz="4" w:color="auto" w:val="single"/>
            </w:tcBorders>
            <w:shd w:fill="auto" w:color="auto" w:val="clear"/>
            <w:vAlign w:val="center"/>
            <w:hideMark/>
          </w:tcPr>
          <w:p w:rsidRDefault="006C02EF" w:rsidP="008601E2" w:rsidR="006C02EF" w:rsidRPr="00957B6C">
            <w:pPr>
              <w:widowControl/>
              <w:jc w:val="right"/>
              <w:rPr>
                <w:rFonts w:cs="Arial" w:hAnsi="Calibri" w:ascii="Calibri"/>
                <w:snapToGrid/>
                <w:color w:val="000000"/>
                <w:sz w:val="16"/>
                <w:szCs w:val="16"/>
                <w:lang w:eastAsia="hr-HR" w:val="hr-HR"/>
              </w:rPr>
            </w:pPr>
            <w:r w:rsidRPr="00957B6C">
              <w:rPr>
                <w:rFonts w:cs="Arial" w:hAnsi="Calibri" w:ascii="Calibri"/>
                <w:snapToGrid/>
                <w:color w:val="000000"/>
                <w:sz w:val="16"/>
                <w:szCs w:val="16"/>
                <w:lang w:eastAsia="hr-HR" w:val="hr-HR"/>
              </w:rPr>
              <w:t>29.582,91</w:t>
            </w:r>
          </w:p>
        </w:tc>
        <w:tc>
          <w:tcPr>
            <w:tcW w:type="dxa" w:w="1520"/>
            <w:tcBorders>
              <w:top w:val="nil"/>
              <w:left w:val="nil"/>
              <w:bottom w:space="0" w:sz="4" w:color="auto" w:val="single"/>
              <w:right w:space="0" w:sz="4" w:color="auto" w:val="single"/>
            </w:tcBorders>
            <w:shd w:fill="FFFFFF" w:color="000000" w:val="clear"/>
            <w:vAlign w:val="center"/>
            <w:hideMark/>
          </w:tcPr>
          <w:p w:rsidRDefault="006C02EF" w:rsidP="008601E2" w:rsidR="006C02EF" w:rsidRPr="00957B6C">
            <w:pPr>
              <w:widowControl/>
              <w:jc w:val="center"/>
              <w:rPr>
                <w:rFonts w:cs="Arial" w:hAnsi="Calibri" w:ascii="Calibri"/>
                <w:snapToGrid/>
                <w:color w:val="000000"/>
                <w:sz w:val="16"/>
                <w:szCs w:val="16"/>
                <w:lang w:eastAsia="hr-HR" w:val="hr-HR"/>
              </w:rPr>
            </w:pPr>
            <w:r w:rsidRPr="00957B6C">
              <w:rPr>
                <w:rFonts w:cs="Arial" w:hAnsi="Calibri" w:ascii="Calibri"/>
                <w:snapToGrid/>
                <w:color w:val="000000"/>
                <w:sz w:val="16"/>
                <w:szCs w:val="16"/>
                <w:lang w:eastAsia="hr-HR" w:val="hr-HR"/>
              </w:rPr>
              <w:t>Neplaćeni porezi i doprinosi te ostali proračunski prihodi</w:t>
            </w:r>
          </w:p>
        </w:tc>
      </w:tr>
    </w:tbl>
    <w:p w:rsidRDefault="006C02EF" w:rsidR="006C02EF">
      <w:pPr>
        <w:rPr>
          <w:lang w:val="hr-HR"/>
        </w:rPr>
      </w:pPr>
    </w:p>
    <w:p w:rsidRDefault="006C02EF" w:rsidP="006C02EF" w:rsidR="006C02EF">
      <w:pPr>
        <w:ind w:firstLine="720"/>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14227B">
        <w:rPr>
          <w:rFonts w:hAnsi="Times New Roman" w:ascii="Times New Roman"/>
          <w:szCs w:val="24"/>
          <w:lang w:val="hr-HR"/>
        </w:rPr>
        <w:lastRenderedPageBreak/>
        <w:t>Stečajni upravitelj izjavljuje da je u cijelosti priznao sve prijavljene tražbine prvog isplatnog reda, nakon čega se prelazi na ispitivanje prijavljenih tražb</w:t>
      </w:r>
      <w:r>
        <w:rPr>
          <w:rFonts w:hAnsi="Times New Roman" w:ascii="Times New Roman"/>
          <w:szCs w:val="24"/>
          <w:lang w:val="hr-HR"/>
        </w:rPr>
        <w:t>ina drugog višeg isplatnog reda.</w:t>
      </w:r>
    </w:p>
    <w:p w:rsidRDefault="006C02EF" w:rsidR="006C02EF">
      <w:pPr>
        <w:rPr>
          <w:lang w:val="hr-HR"/>
        </w:rPr>
      </w:pPr>
    </w:p>
    <w:p w:rsidRDefault="006C02EF" w:rsidR="006C02EF">
      <w:pPr>
        <w:rPr>
          <w:lang w:val="hr-HR"/>
        </w:rPr>
      </w:pPr>
    </w:p>
    <w:p w:rsidRDefault="006C02EF" w:rsidR="006C02EF">
      <w:pPr>
        <w:rPr>
          <w:lang w:val="hr-HR"/>
        </w:rPr>
      </w:pPr>
    </w:p>
    <w:p w:rsidRDefault="006C02EF" w:rsidR="006C02EF">
      <w:pPr>
        <w:rPr>
          <w:rFonts w:hAnsi="Times New Roman" w:ascii="Times New Roman"/>
          <w:lang w:val="hr-HR"/>
        </w:rPr>
      </w:pPr>
      <w:r w:rsidRPr="006C02EF">
        <w:rPr>
          <w:rFonts w:hAnsi="Times New Roman" w:ascii="Times New Roman"/>
          <w:lang w:val="hr-HR"/>
        </w:rPr>
        <w:t>DRUGI VIŠI ISPLATNI RED</w:t>
      </w:r>
    </w:p>
    <w:p w:rsidRDefault="006C02EF" w:rsidR="006C02EF" w:rsidRPr="006C02EF">
      <w:pPr>
        <w:rPr>
          <w:rFonts w:hAnsi="Times New Roman" w:ascii="Times New Roman"/>
          <w:lang w:val="hr-HR"/>
        </w:rPr>
      </w:pPr>
    </w:p>
    <w:p w:rsidRDefault="006C02EF" w:rsidR="006C02EF">
      <w:pPr>
        <w:rPr>
          <w:lang w:val="hr-HR"/>
        </w:rPr>
      </w:pPr>
    </w:p>
    <w:tbl>
      <w:tblPr>
        <w:tblW w:type="auto" w:w="0"/>
        <w:tblInd w:type="dxa" w:w="93"/>
        <w:tblLook w:val="04A0" w:noVBand="1" w:noHBand="0" w:lastColumn="0" w:firstColumn="1" w:lastRow="0" w:firstRow="1"/>
      </w:tblPr>
      <w:tblGrid>
        <w:gridCol w:w="535"/>
        <w:gridCol w:w="1934"/>
        <w:gridCol w:w="1123"/>
        <w:gridCol w:w="1450"/>
        <w:gridCol w:w="1328"/>
        <w:gridCol w:w="1525"/>
        <w:gridCol w:w="1300"/>
      </w:tblGrid>
      <w:tr w:rsidTr="006C02EF" w:rsidR="006C02EF" w:rsidRPr="006C02EF">
        <w:trPr>
          <w:trHeight w:val="1575"/>
        </w:trPr>
        <w:tc>
          <w:tcPr>
            <w:tcW w:type="auto" w:w="0"/>
            <w:tcBorders>
              <w:top w:space="0" w:sz="4" w:color="000000" w:val="single"/>
              <w:left w:space="0" w:sz="4" w:color="000000" w:val="single"/>
              <w:bottom w:space="0" w:sz="4" w:color="000000" w:val="single"/>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R.br.</w:t>
            </w:r>
          </w:p>
        </w:tc>
        <w:tc>
          <w:tcPr>
            <w:tcW w:type="auto" w:w="0"/>
            <w:tcBorders>
              <w:top w:space="0" w:sz="4" w:color="000000" w:val="single"/>
              <w:left w:val="nil"/>
              <w:bottom w:space="0" w:sz="4" w:color="000000" w:val="single"/>
              <w:right w:val="nil"/>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Tvrtka  ili naziv vjerovnika</w:t>
            </w:r>
          </w:p>
        </w:tc>
        <w:tc>
          <w:tcPr>
            <w:tcW w:type="auto" w:w="0"/>
            <w:tcBorders>
              <w:top w:space="0" w:sz="4" w:color="000000" w:val="single"/>
              <w:left w:space="0" w:sz="4" w:color="000000" w:val="single"/>
              <w:bottom w:space="0" w:sz="4" w:color="000000" w:val="single"/>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OIB vjerovnika</w:t>
            </w:r>
          </w:p>
        </w:tc>
        <w:tc>
          <w:tcPr>
            <w:tcW w:type="auto" w:w="0"/>
            <w:tcBorders>
              <w:top w:space="0" w:sz="4" w:color="000000" w:val="single"/>
              <w:left w:val="nil"/>
              <w:bottom w:space="0" w:sz="4" w:color="000000" w:val="single"/>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Adresa / sjedište vjerovnika</w:t>
            </w:r>
          </w:p>
        </w:tc>
        <w:tc>
          <w:tcPr>
            <w:tcW w:type="auto" w:w="0"/>
            <w:tcBorders>
              <w:top w:space="0" w:sz="4" w:color="000000" w:val="single"/>
              <w:left w:val="nil"/>
              <w:bottom w:val="nil"/>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Iznos prijavljene tražbine (kn)</w:t>
            </w:r>
          </w:p>
        </w:tc>
        <w:tc>
          <w:tcPr>
            <w:tcW w:type="auto" w:w="0"/>
            <w:tcBorders>
              <w:top w:space="0" w:sz="4" w:color="000000" w:val="single"/>
              <w:left w:val="nil"/>
              <w:bottom w:val="nil"/>
              <w:right w:val="nil"/>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Pravna osnova prijavljene tražbine</w:t>
            </w:r>
          </w:p>
        </w:tc>
        <w:tc>
          <w:tcPr>
            <w:tcW w:type="auto" w:w="0"/>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Iznos priznate tražbine (kn)</w:t>
            </w:r>
          </w:p>
        </w:tc>
      </w:tr>
      <w:tr w:rsidTr="006C02EF" w:rsidR="006C02EF" w:rsidRPr="006C02EF">
        <w:trPr>
          <w:trHeight w:val="675"/>
        </w:trPr>
        <w:tc>
          <w:tcPr>
            <w:tcW w:type="auto" w:w="0"/>
            <w:tcBorders>
              <w:top w:val="nil"/>
              <w:left w:space="0" w:sz="4" w:color="000000" w:val="single"/>
              <w:bottom w:space="0" w:sz="4" w:color="000000" w:val="single"/>
              <w:right w:space="0" w:sz="4" w:color="000000"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1</w:t>
            </w:r>
          </w:p>
        </w:tc>
        <w:tc>
          <w:tcPr>
            <w:tcW w:type="auto" w:w="0"/>
            <w:tcBorders>
              <w:top w:val="nil"/>
              <w:left w:val="nil"/>
              <w:bottom w:space="0" w:sz="4" w:color="000000" w:val="single"/>
              <w:right w:val="nil"/>
            </w:tcBorders>
            <w:shd w:fill="FFFFFF" w:color="000000" w:val="clear"/>
            <w:vAlign w:val="center"/>
            <w:hideMark/>
          </w:tcPr>
          <w:p w:rsidRDefault="006C02EF" w:rsidP="006C02EF" w:rsidR="006C02EF" w:rsidRPr="006C02EF">
            <w:pPr>
              <w:widowControl/>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B2 KAPITAL d.o.o.</w:t>
            </w:r>
          </w:p>
        </w:tc>
        <w:tc>
          <w:tcPr>
            <w:tcW w:type="auto" w:w="0"/>
            <w:tcBorders>
              <w:top w:val="nil"/>
              <w:left w:space="0" w:sz="4" w:color="000000" w:val="single"/>
              <w:bottom w:space="0" w:sz="4" w:color="000000" w:val="single"/>
              <w:right w:val="nil"/>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57509775367</w:t>
            </w:r>
          </w:p>
        </w:tc>
        <w:tc>
          <w:tcPr>
            <w:tcW w:type="auto" w:w="0"/>
            <w:tcBorders>
              <w:top w:val="nil"/>
              <w:left w:space="0" w:sz="4" w:color="auto" w:val="single"/>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Radnička cesta 41, 10000 Zagreb</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10.063.386,70</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Ugovor o kreditu br. 5112910616</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10.063.386,70</w:t>
            </w:r>
          </w:p>
        </w:tc>
      </w:tr>
      <w:tr w:rsidTr="006C02EF" w:rsidR="006C02EF" w:rsidRPr="006C02EF">
        <w:trPr>
          <w:trHeight w:val="675"/>
        </w:trPr>
        <w:tc>
          <w:tcPr>
            <w:tcW w:type="auto" w:w="0"/>
            <w:tcBorders>
              <w:top w:val="nil"/>
              <w:left w:space="0" w:sz="4" w:color="000000" w:val="single"/>
              <w:bottom w:space="0" w:sz="4" w:color="000000" w:val="single"/>
              <w:right w:space="0" w:sz="4" w:color="000000"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2</w:t>
            </w:r>
          </w:p>
        </w:tc>
        <w:tc>
          <w:tcPr>
            <w:tcW w:type="auto" w:w="0"/>
            <w:tcBorders>
              <w:top w:val="nil"/>
              <w:left w:val="nil"/>
              <w:bottom w:space="0" w:sz="4" w:color="000000" w:val="single"/>
              <w:right w:val="nil"/>
            </w:tcBorders>
            <w:shd w:fill="FFFFFF" w:color="000000" w:val="clear"/>
            <w:vAlign w:val="center"/>
            <w:hideMark/>
          </w:tcPr>
          <w:p w:rsidRDefault="006C02EF" w:rsidP="006C02EF" w:rsidR="006C02EF" w:rsidRPr="006C02EF">
            <w:pPr>
              <w:widowControl/>
              <w:rPr>
                <w:rFonts w:cs="Arial" w:hAnsi="Calibri" w:ascii="Calibri"/>
                <w:snapToGrid/>
                <w:sz w:val="16"/>
                <w:szCs w:val="16"/>
                <w:lang w:eastAsia="hr-HR" w:val="hr-HR"/>
              </w:rPr>
            </w:pPr>
            <w:r w:rsidRPr="006C02EF">
              <w:rPr>
                <w:rFonts w:cs="Arial" w:hAnsi="Calibri" w:ascii="Calibri"/>
                <w:snapToGrid/>
                <w:sz w:val="16"/>
                <w:szCs w:val="16"/>
                <w:lang w:eastAsia="hr-HR" w:val="hr-HR"/>
              </w:rPr>
              <w:t>Zagorje-Tehnobeton d.d.</w:t>
            </w:r>
          </w:p>
        </w:tc>
        <w:tc>
          <w:tcPr>
            <w:tcW w:type="auto" w:w="0"/>
            <w:tcBorders>
              <w:top w:val="nil"/>
              <w:left w:space="0" w:sz="4" w:color="000000" w:val="single"/>
              <w:bottom w:space="0" w:sz="4" w:color="000000" w:val="single"/>
              <w:right w:val="nil"/>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68289504926</w:t>
            </w:r>
          </w:p>
        </w:tc>
        <w:tc>
          <w:tcPr>
            <w:tcW w:type="auto" w:w="0"/>
            <w:tcBorders>
              <w:top w:val="nil"/>
              <w:left w:space="0" w:sz="4" w:color="auto" w:val="single"/>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Pavleka Miškine 49, 42000 Varaždin</w:t>
            </w:r>
          </w:p>
        </w:tc>
        <w:tc>
          <w:tcPr>
            <w:tcW w:type="auto" w:w="0"/>
            <w:tcBorders>
              <w:top w:val="nil"/>
              <w:left w:val="nil"/>
              <w:bottom w:space="0" w:sz="4" w:color="000000" w:val="single"/>
              <w:right w:space="0" w:sz="4" w:color="000000" w:val="single"/>
            </w:tcBorders>
            <w:shd w:fill="FFFFFF" w:color="000000" w:val="clear"/>
            <w:vAlign w:val="center"/>
            <w:hideMark/>
          </w:tcPr>
          <w:p w:rsidRDefault="006C02EF" w:rsidP="006C02EF" w:rsidR="006C02EF" w:rsidRPr="006C02EF">
            <w:pPr>
              <w:widowControl/>
              <w:jc w:val="right"/>
              <w:rPr>
                <w:rFonts w:cs="Arial" w:hAnsi="Calibri" w:ascii="Calibri"/>
                <w:snapToGrid/>
                <w:sz w:val="16"/>
                <w:szCs w:val="16"/>
                <w:lang w:eastAsia="hr-HR" w:val="hr-HR"/>
              </w:rPr>
            </w:pPr>
            <w:r w:rsidRPr="006C02EF">
              <w:rPr>
                <w:rFonts w:cs="Arial" w:hAnsi="Calibri" w:ascii="Calibri"/>
                <w:snapToGrid/>
                <w:sz w:val="16"/>
                <w:szCs w:val="16"/>
                <w:lang w:eastAsia="hr-HR" w:val="hr-HR"/>
              </w:rPr>
              <w:t>17.302,32</w:t>
            </w:r>
          </w:p>
        </w:tc>
        <w:tc>
          <w:tcPr>
            <w:tcW w:type="auto" w:w="0"/>
            <w:tcBorders>
              <w:top w:val="nil"/>
              <w:left w:val="nil"/>
              <w:bottom w:space="0" w:sz="4" w:color="000000" w:val="single"/>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Računi za robu i usluge</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17.302,32</w:t>
            </w:r>
          </w:p>
        </w:tc>
      </w:tr>
      <w:tr w:rsidTr="006C02EF" w:rsidR="006C02EF" w:rsidRPr="006C02EF">
        <w:trPr>
          <w:trHeight w:val="900"/>
        </w:trPr>
        <w:tc>
          <w:tcPr>
            <w:tcW w:type="auto" w:w="0"/>
            <w:tcBorders>
              <w:top w:val="nil"/>
              <w:left w:space="0" w:sz="4" w:color="000000" w:val="single"/>
              <w:bottom w:val="nil"/>
              <w:right w:space="0" w:sz="4" w:color="000000"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3</w:t>
            </w:r>
          </w:p>
        </w:tc>
        <w:tc>
          <w:tcPr>
            <w:tcW w:type="auto" w:w="0"/>
            <w:tcBorders>
              <w:top w:val="nil"/>
              <w:left w:val="nil"/>
              <w:bottom w:val="nil"/>
              <w:right w:val="nil"/>
            </w:tcBorders>
            <w:shd w:fill="FFFFFF" w:color="000000" w:val="clear"/>
            <w:vAlign w:val="center"/>
            <w:hideMark/>
          </w:tcPr>
          <w:p w:rsidRDefault="006C02EF" w:rsidP="006C02EF" w:rsidR="006C02EF" w:rsidRPr="006C02EF">
            <w:pPr>
              <w:widowControl/>
              <w:rPr>
                <w:rFonts w:cs="Arial" w:hAnsi="Calibri" w:ascii="Calibri"/>
                <w:snapToGrid/>
                <w:sz w:val="16"/>
                <w:szCs w:val="16"/>
                <w:lang w:eastAsia="hr-HR" w:val="hr-HR"/>
              </w:rPr>
            </w:pPr>
            <w:r w:rsidRPr="006C02EF">
              <w:rPr>
                <w:rFonts w:cs="Arial" w:hAnsi="Calibri" w:ascii="Calibri"/>
                <w:snapToGrid/>
                <w:sz w:val="16"/>
                <w:szCs w:val="16"/>
                <w:lang w:eastAsia="hr-HR" w:val="hr-HR"/>
              </w:rPr>
              <w:t>Hrvatske šume d.o.o.</w:t>
            </w:r>
          </w:p>
        </w:tc>
        <w:tc>
          <w:tcPr>
            <w:tcW w:type="auto" w:w="0"/>
            <w:tcBorders>
              <w:top w:val="nil"/>
              <w:left w:space="0" w:sz="4" w:color="000000" w:val="single"/>
              <w:bottom w:val="nil"/>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69693144506</w:t>
            </w:r>
          </w:p>
        </w:tc>
        <w:tc>
          <w:tcPr>
            <w:tcW w:type="auto" w:w="0"/>
            <w:tcBorders>
              <w:top w:val="nil"/>
              <w:left w:val="nil"/>
              <w:bottom w:val="nil"/>
              <w:right w:space="0" w:sz="4" w:color="000000"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Ljudevita Farkaša Vukotinovića 2, 10000 Zagreb</w:t>
            </w:r>
          </w:p>
        </w:tc>
        <w:tc>
          <w:tcPr>
            <w:tcW w:type="auto" w:w="0"/>
            <w:tcBorders>
              <w:top w:val="nil"/>
              <w:left w:val="nil"/>
              <w:bottom w:val="nil"/>
              <w:right w:space="0" w:sz="4" w:color="000000" w:val="single"/>
            </w:tcBorders>
            <w:shd w:fill="FFFFFF" w:color="000000" w:val="clear"/>
            <w:vAlign w:val="center"/>
            <w:hideMark/>
          </w:tcPr>
          <w:p w:rsidRDefault="006C02EF" w:rsidP="006C02EF" w:rsidR="006C02EF" w:rsidRPr="006C02EF">
            <w:pPr>
              <w:widowControl/>
              <w:jc w:val="right"/>
              <w:rPr>
                <w:rFonts w:cs="Arial" w:hAnsi="Calibri" w:ascii="Calibri"/>
                <w:snapToGrid/>
                <w:sz w:val="16"/>
                <w:szCs w:val="16"/>
                <w:lang w:eastAsia="hr-HR" w:val="hr-HR"/>
              </w:rPr>
            </w:pPr>
            <w:r w:rsidRPr="006C02EF">
              <w:rPr>
                <w:rFonts w:cs="Arial" w:hAnsi="Calibri" w:ascii="Calibri"/>
                <w:snapToGrid/>
                <w:sz w:val="16"/>
                <w:szCs w:val="16"/>
                <w:lang w:eastAsia="hr-HR" w:val="hr-HR"/>
              </w:rPr>
              <w:t>10.568,30</w:t>
            </w:r>
          </w:p>
        </w:tc>
        <w:tc>
          <w:tcPr>
            <w:tcW w:type="auto" w:w="0"/>
            <w:tcBorders>
              <w:top w:val="nil"/>
              <w:left w:val="nil"/>
              <w:bottom w:val="nil"/>
              <w:right w:val="nil"/>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Naknada za OKFŠ</w:t>
            </w:r>
          </w:p>
        </w:tc>
        <w:tc>
          <w:tcPr>
            <w:tcW w:type="auto" w:w="0"/>
            <w:tcBorders>
              <w:top w:space="0" w:sz="4" w:color="auto" w:val="single"/>
              <w:left w:space="0" w:sz="4" w:color="auto" w:val="single"/>
              <w:bottom w:val="nil"/>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10.568,30</w:t>
            </w:r>
          </w:p>
        </w:tc>
      </w:tr>
      <w:tr w:rsidTr="006C02EF" w:rsidR="006C02EF" w:rsidRPr="006C02EF">
        <w:trPr>
          <w:trHeight w:val="900"/>
        </w:trPr>
        <w:tc>
          <w:tcPr>
            <w:tcW w:type="auto" w:w="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4</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rPr>
                <w:rFonts w:cs="Arial" w:hAnsi="Calibri" w:ascii="Calibri"/>
                <w:snapToGrid/>
                <w:sz w:val="16"/>
                <w:szCs w:val="16"/>
                <w:lang w:eastAsia="hr-HR" w:val="hr-HR"/>
              </w:rPr>
            </w:pPr>
            <w:r w:rsidRPr="006C02EF">
              <w:rPr>
                <w:rFonts w:cs="Arial" w:hAnsi="Calibri" w:ascii="Calibri"/>
                <w:snapToGrid/>
                <w:sz w:val="16"/>
                <w:szCs w:val="16"/>
                <w:lang w:eastAsia="hr-HR" w:val="hr-HR"/>
              </w:rPr>
              <w:t>Grad Čakovec</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44427688822</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Ulica kralja Tomislava 15, 40000 Čakovec</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sz w:val="16"/>
                <w:szCs w:val="16"/>
                <w:lang w:eastAsia="hr-HR" w:val="hr-HR"/>
              </w:rPr>
            </w:pPr>
            <w:r w:rsidRPr="006C02EF">
              <w:rPr>
                <w:rFonts w:cs="Arial" w:hAnsi="Calibri" w:ascii="Calibri"/>
                <w:snapToGrid/>
                <w:sz w:val="16"/>
                <w:szCs w:val="16"/>
                <w:lang w:eastAsia="hr-HR" w:val="hr-HR"/>
              </w:rPr>
              <w:t>6.644,23</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Porez na tvrtku, Komunalna naknada</w:t>
            </w:r>
          </w:p>
        </w:tc>
        <w:tc>
          <w:tcPr>
            <w:tcW w:type="auto" w:w="0"/>
            <w:tcBorders>
              <w:top w:space="0" w:sz="4" w:color="auto" w:val="single"/>
              <w:left w:val="nil"/>
              <w:bottom w:val="nil"/>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6.644,23</w:t>
            </w:r>
          </w:p>
        </w:tc>
      </w:tr>
      <w:tr w:rsidTr="006C02EF" w:rsidR="006C02EF" w:rsidRPr="006C02EF">
        <w:trPr>
          <w:trHeight w:val="900"/>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5</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rPr>
                <w:rFonts w:cs="Arial" w:hAnsi="Calibri" w:ascii="Calibri"/>
                <w:snapToGrid/>
                <w:sz w:val="16"/>
                <w:szCs w:val="16"/>
                <w:lang w:eastAsia="hr-HR" w:val="hr-HR"/>
              </w:rPr>
            </w:pPr>
            <w:r w:rsidRPr="006C02EF">
              <w:rPr>
                <w:rFonts w:cs="Arial" w:hAnsi="Calibri" w:ascii="Calibri"/>
                <w:snapToGrid/>
                <w:sz w:val="16"/>
                <w:szCs w:val="16"/>
                <w:lang w:eastAsia="hr-HR" w:val="hr-HR"/>
              </w:rPr>
              <w:t>Ina - Industrija nafte d.d.</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27759560625</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Avenija V. Holjevca 10, 10000 Zagreb</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sz w:val="16"/>
                <w:szCs w:val="16"/>
                <w:lang w:eastAsia="hr-HR" w:val="hr-HR"/>
              </w:rPr>
            </w:pPr>
            <w:r w:rsidRPr="006C02EF">
              <w:rPr>
                <w:rFonts w:cs="Arial" w:hAnsi="Calibri" w:ascii="Calibri"/>
                <w:snapToGrid/>
                <w:sz w:val="16"/>
                <w:szCs w:val="16"/>
                <w:lang w:eastAsia="hr-HR" w:val="hr-HR"/>
              </w:rPr>
              <w:t>1.239,36</w:t>
            </w:r>
          </w:p>
        </w:tc>
        <w:tc>
          <w:tcPr>
            <w:tcW w:type="auto" w:w="0"/>
            <w:tcBorders>
              <w:top w:space="0" w:sz="4" w:color="auto" w:val="single"/>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Ugovor o korištenju kreditne kartice INA</w:t>
            </w:r>
          </w:p>
        </w:tc>
        <w:tc>
          <w:tcPr>
            <w:tcW w:type="auto" w:w="0"/>
            <w:tcBorders>
              <w:top w:space="0" w:sz="4" w:color="auto" w:val="single"/>
              <w:left w:val="nil"/>
              <w:bottom w:space="0" w:sz="4" w:color="auto" w:val="single"/>
              <w:right w:space="0" w:sz="4" w:color="000000"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1.239,36</w:t>
            </w:r>
          </w:p>
        </w:tc>
      </w:tr>
      <w:tr w:rsidTr="006C02EF" w:rsidR="006C02EF" w:rsidRPr="006C02EF">
        <w:trPr>
          <w:trHeight w:val="1350"/>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6C02EF" w:rsidP="006C02EF" w:rsidR="006C02EF" w:rsidRPr="006C02EF">
            <w:pPr>
              <w:widowControl/>
              <w:jc w:val="center"/>
              <w:rPr>
                <w:rFonts w:cs="Arial" w:hAnsi="Calibri" w:ascii="Calibri"/>
                <w:b/>
                <w:bCs/>
                <w:snapToGrid/>
                <w:color w:val="000000"/>
                <w:sz w:val="16"/>
                <w:szCs w:val="16"/>
                <w:lang w:eastAsia="hr-HR" w:val="hr-HR"/>
              </w:rPr>
            </w:pPr>
            <w:r w:rsidRPr="006C02EF">
              <w:rPr>
                <w:rFonts w:cs="Arial" w:hAnsi="Calibri" w:ascii="Calibri"/>
                <w:b/>
                <w:bCs/>
                <w:snapToGrid/>
                <w:color w:val="000000"/>
                <w:sz w:val="16"/>
                <w:szCs w:val="16"/>
                <w:lang w:eastAsia="hr-HR" w:val="hr-HR"/>
              </w:rPr>
              <w:t>6</w:t>
            </w:r>
          </w:p>
        </w:tc>
        <w:tc>
          <w:tcPr>
            <w:tcW w:type="auto" w:w="0"/>
            <w:tcBorders>
              <w:top w:val="nil"/>
              <w:left w:val="nil"/>
              <w:bottom w:space="0" w:sz="4" w:color="auto" w:val="single"/>
              <w:right w:space="0" w:sz="4" w:color="auto" w:val="single"/>
            </w:tcBorders>
            <w:shd w:fill="FFFFFF" w:color="000000" w:val="clear"/>
            <w:vAlign w:val="center"/>
            <w:hideMark/>
          </w:tcPr>
          <w:p w:rsidRDefault="006C02EF" w:rsidP="006C02EF" w:rsidR="006C02EF" w:rsidRPr="006C02EF">
            <w:pPr>
              <w:widowControl/>
              <w:rPr>
                <w:rFonts w:cs="Arial" w:hAnsi="Calibri" w:ascii="Calibri"/>
                <w:snapToGrid/>
                <w:sz w:val="16"/>
                <w:szCs w:val="16"/>
                <w:lang w:eastAsia="hr-HR" w:val="hr-HR"/>
              </w:rPr>
            </w:pPr>
            <w:r w:rsidRPr="006C02EF">
              <w:rPr>
                <w:rFonts w:cs="Arial" w:hAnsi="Calibri" w:ascii="Calibri"/>
                <w:snapToGrid/>
                <w:sz w:val="16"/>
                <w:szCs w:val="16"/>
                <w:lang w:eastAsia="hr-HR" w:val="hr-HR"/>
              </w:rPr>
              <w:t>Republika Hrvatska, Ministarstvo financija, Porezna uprava, Područni ured sjeverna Hrvatska</w:t>
            </w:r>
          </w:p>
        </w:tc>
        <w:tc>
          <w:tcPr>
            <w:tcW w:type="auto" w:w="0"/>
            <w:tcBorders>
              <w:top w:val="nil"/>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52634238587</w:t>
            </w:r>
          </w:p>
        </w:tc>
        <w:tc>
          <w:tcPr>
            <w:tcW w:type="auto" w:w="0"/>
            <w:tcBorders>
              <w:top w:val="nil"/>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sz w:val="16"/>
                <w:szCs w:val="16"/>
                <w:lang w:eastAsia="hr-HR" w:val="hr-HR"/>
              </w:rPr>
            </w:pPr>
            <w:r w:rsidRPr="006C02EF">
              <w:rPr>
                <w:rFonts w:cs="Arial" w:hAnsi="Calibri" w:ascii="Calibri"/>
                <w:snapToGrid/>
                <w:sz w:val="16"/>
                <w:szCs w:val="16"/>
                <w:lang w:eastAsia="hr-HR" w:val="hr-HR"/>
              </w:rPr>
              <w:t>Grabarje 1, 42000 Varaždin</w:t>
            </w:r>
          </w:p>
        </w:tc>
        <w:tc>
          <w:tcPr>
            <w:tcW w:type="auto" w:w="0"/>
            <w:tcBorders>
              <w:top w:val="nil"/>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right"/>
              <w:rPr>
                <w:rFonts w:cs="Arial" w:hAnsi="Calibri" w:ascii="Calibri"/>
                <w:snapToGrid/>
                <w:sz w:val="16"/>
                <w:szCs w:val="16"/>
                <w:lang w:eastAsia="hr-HR" w:val="hr-HR"/>
              </w:rPr>
            </w:pPr>
            <w:r w:rsidRPr="006C02EF">
              <w:rPr>
                <w:rFonts w:cs="Arial" w:hAnsi="Calibri" w:ascii="Calibri"/>
                <w:snapToGrid/>
                <w:sz w:val="16"/>
                <w:szCs w:val="16"/>
                <w:lang w:eastAsia="hr-HR" w:val="hr-HR"/>
              </w:rPr>
              <w:t>188.387,43</w:t>
            </w:r>
          </w:p>
        </w:tc>
        <w:tc>
          <w:tcPr>
            <w:tcW w:type="auto" w:w="0"/>
            <w:tcBorders>
              <w:top w:val="nil"/>
              <w:left w:val="nil"/>
              <w:bottom w:space="0" w:sz="4" w:color="auto" w:val="single"/>
              <w:right w:space="0" w:sz="4" w:color="auto" w:val="single"/>
            </w:tcBorders>
            <w:shd w:fill="FFFFFF" w:color="000000" w:val="clear"/>
            <w:vAlign w:val="center"/>
            <w:hideMark/>
          </w:tcPr>
          <w:p w:rsidRDefault="006C02EF" w:rsidP="006C02EF" w:rsidR="006C02EF" w:rsidRPr="006C02EF">
            <w:pPr>
              <w:widowControl/>
              <w:jc w:val="center"/>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Neplaćeni porezi i doprinosi te ostali proračunski prihodi</w:t>
            </w:r>
          </w:p>
        </w:tc>
        <w:tc>
          <w:tcPr>
            <w:tcW w:type="auto" w:w="0"/>
            <w:tcBorders>
              <w:top w:space="0" w:sz="4" w:color="auto" w:val="single"/>
              <w:left w:val="nil"/>
              <w:bottom w:space="0" w:sz="4" w:color="auto" w:val="single"/>
              <w:right w:space="0" w:sz="4" w:color="000000" w:val="single"/>
            </w:tcBorders>
            <w:shd w:fill="FFFFFF" w:color="000000" w:val="clear"/>
            <w:vAlign w:val="center"/>
            <w:hideMark/>
          </w:tcPr>
          <w:p w:rsidRDefault="006C02EF" w:rsidP="006C02EF" w:rsidR="006C02EF" w:rsidRPr="006C02EF">
            <w:pPr>
              <w:widowControl/>
              <w:jc w:val="right"/>
              <w:rPr>
                <w:rFonts w:cs="Arial" w:hAnsi="Calibri" w:ascii="Calibri"/>
                <w:snapToGrid/>
                <w:color w:val="000000"/>
                <w:sz w:val="16"/>
                <w:szCs w:val="16"/>
                <w:lang w:eastAsia="hr-HR" w:val="hr-HR"/>
              </w:rPr>
            </w:pPr>
            <w:r w:rsidRPr="006C02EF">
              <w:rPr>
                <w:rFonts w:cs="Arial" w:hAnsi="Calibri" w:ascii="Calibri"/>
                <w:snapToGrid/>
                <w:color w:val="000000"/>
                <w:sz w:val="16"/>
                <w:szCs w:val="16"/>
                <w:lang w:eastAsia="hr-HR" w:val="hr-HR"/>
              </w:rPr>
              <w:t>188.387,43</w:t>
            </w:r>
          </w:p>
        </w:tc>
      </w:tr>
    </w:tbl>
    <w:p w:rsidRDefault="006C02EF" w:rsidR="006C02EF">
      <w:pPr>
        <w:rPr>
          <w:lang w:val="hr-HR"/>
        </w:rPr>
      </w:pPr>
    </w:p>
    <w:p w:rsidRDefault="006C02EF" w:rsidR="006C02EF">
      <w:pPr>
        <w:rPr>
          <w:lang w:val="hr-HR"/>
        </w:rPr>
      </w:pPr>
    </w:p>
    <w:p w:rsidRDefault="006C02EF" w:rsidR="006C02EF">
      <w:pPr>
        <w:rPr>
          <w:lang w:val="hr-HR"/>
        </w:rPr>
      </w:pPr>
    </w:p>
    <w:p w:rsidRDefault="006C02EF" w:rsidP="006C02EF" w:rsidR="006C02EF">
      <w:pPr>
        <w:ind w:firstLine="708"/>
        <w:rPr>
          <w:rFonts w:hAnsi="Times New Roman" w:ascii="Times New Roman"/>
          <w:lang w:val="hr-HR"/>
        </w:rPr>
      </w:pPr>
      <w:r>
        <w:rPr>
          <w:rFonts w:hAnsi="Times New Roman" w:ascii="Times New Roman"/>
          <w:lang w:val="hr-HR"/>
        </w:rPr>
        <w:t>Sud donosi</w:t>
      </w:r>
    </w:p>
    <w:p w:rsidRDefault="006C02EF" w:rsidP="006C02EF" w:rsidR="006C02EF" w:rsidRPr="006C02EF">
      <w:pPr>
        <w:rPr>
          <w:rFonts w:hAnsi="Times New Roman" w:ascii="Times New Roman"/>
          <w:lang w:val="hr-HR"/>
        </w:rPr>
      </w:pPr>
    </w:p>
    <w:p w:rsidRDefault="006C02EF" w:rsidP="006C02EF" w:rsidR="006C02EF" w:rsidRPr="006C02EF">
      <w:pPr>
        <w:jc w:val="center"/>
        <w:rPr>
          <w:rFonts w:hAnsi="Times New Roman" w:ascii="Times New Roman"/>
          <w:lang w:val="hr-HR"/>
        </w:rPr>
      </w:pPr>
      <w:r w:rsidRPr="006C02EF">
        <w:rPr>
          <w:rFonts w:hAnsi="Times New Roman" w:ascii="Times New Roman"/>
          <w:lang w:val="hr-HR"/>
        </w:rPr>
        <w:t>r j e š e n j e</w:t>
      </w:r>
    </w:p>
    <w:p w:rsidRDefault="006C02EF" w:rsidP="006C02EF" w:rsidR="006C02EF">
      <w:pPr>
        <w:rPr>
          <w:lang w:val="hr-HR"/>
        </w:rPr>
      </w:pPr>
    </w:p>
    <w:p w:rsidRDefault="006C02EF" w:rsidP="006C02EF" w:rsidR="006C02EF" w:rsidRPr="006C02EF">
      <w:pPr>
        <w:rPr>
          <w:lang w:val="hr-HR"/>
        </w:rPr>
      </w:pPr>
    </w:p>
    <w:p w:rsidRDefault="006C02EF" w:rsidP="006C02EF" w:rsidR="006C02EF" w:rsidRPr="006C02EF">
      <w:pPr>
        <w:rPr>
          <w:rFonts w:hAnsi="Times New Roman" w:ascii="Times New Roman"/>
          <w:lang w:val="hr-HR"/>
        </w:rPr>
      </w:pPr>
      <w:r w:rsidRPr="006C02EF">
        <w:rPr>
          <w:lang w:val="hr-HR"/>
        </w:rPr>
        <w:t>I.</w:t>
      </w:r>
      <w:r w:rsidRPr="006C02EF">
        <w:rPr>
          <w:lang w:val="hr-HR"/>
        </w:rPr>
        <w:tab/>
      </w:r>
      <w:r w:rsidRPr="006C02EF">
        <w:rPr>
          <w:rFonts w:hAnsi="Times New Roman" w:ascii="Times New Roman"/>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pPr>
        <w:rPr>
          <w:rFonts w:hAnsi="Times New Roman" w:ascii="Times New Roman"/>
          <w:lang w:val="hr-HR"/>
        </w:rPr>
      </w:pPr>
      <w:r w:rsidRPr="006C02EF">
        <w:rPr>
          <w:rFonts w:hAnsi="Times New Roman" w:ascii="Times New Roman"/>
          <w:lang w:val="hr-HR"/>
        </w:rPr>
        <w:t>II.</w:t>
      </w:r>
      <w:r w:rsidRPr="006C02EF">
        <w:rPr>
          <w:rFonts w:hAnsi="Times New Roman" w:ascii="Times New Roman"/>
          <w:lang w:val="hr-HR"/>
        </w:rPr>
        <w:tab/>
        <w:t>Spajaju se ispitno i izvještajno ročište.</w:t>
      </w:r>
    </w:p>
    <w:p w:rsidRDefault="007E657D" w:rsidP="007E657D" w:rsidR="007E657D">
      <w:pPr>
        <w:rPr>
          <w:rFonts w:hAnsi="Times New Roman" w:ascii="Times New Roman"/>
          <w:lang w:val="hr-HR"/>
        </w:rPr>
      </w:pPr>
    </w:p>
    <w:p w:rsidRDefault="006C02EF" w:rsidP="007E657D" w:rsidR="006C02EF" w:rsidRPr="006C02EF">
      <w:pPr>
        <w:ind w:firstLine="708"/>
        <w:rPr>
          <w:rFonts w:hAnsi="Times New Roman" w:ascii="Times New Roman"/>
          <w:lang w:val="hr-HR"/>
        </w:rPr>
      </w:pPr>
      <w:r w:rsidRPr="006C02EF">
        <w:rPr>
          <w:rFonts w:hAnsi="Times New Roman" w:ascii="Times New Roman"/>
          <w:lang w:val="hr-HR"/>
        </w:rPr>
        <w:lastRenderedPageBreak/>
        <w:t>Prelazi se na izvještajno ro</w:t>
      </w:r>
      <w:r w:rsidRPr="006C02EF">
        <w:rPr>
          <w:rFonts w:hAnsi="Times New Roman" w:ascii="Times New Roman" w:hint="eastAsia"/>
          <w:lang w:val="hr-HR"/>
        </w:rPr>
        <w:t>č</w:t>
      </w:r>
      <w:r w:rsidRPr="006C02EF">
        <w:rPr>
          <w:rFonts w:hAnsi="Times New Roman" w:ascii="Times New Roman"/>
          <w:lang w:val="hr-HR"/>
        </w:rPr>
        <w:t>ište, te ste</w:t>
      </w:r>
      <w:r w:rsidRPr="006C02EF">
        <w:rPr>
          <w:rFonts w:hAnsi="Times New Roman" w:ascii="Times New Roman" w:hint="eastAsia"/>
          <w:lang w:val="hr-HR"/>
        </w:rPr>
        <w:t>č</w:t>
      </w:r>
      <w:r w:rsidRPr="006C02EF">
        <w:rPr>
          <w:rFonts w:hAnsi="Times New Roman" w:ascii="Times New Roman"/>
          <w:lang w:val="hr-HR"/>
        </w:rPr>
        <w:t>ajni upravitelj dijeli ovdje prisutnim zastupnicima vjerovnika svoje izvješ</w:t>
      </w:r>
      <w:r w:rsidRPr="006C02EF">
        <w:rPr>
          <w:rFonts w:hAnsi="Times New Roman" w:ascii="Times New Roman" w:hint="eastAsia"/>
          <w:lang w:val="hr-HR"/>
        </w:rPr>
        <w:t>ć</w:t>
      </w:r>
      <w:r w:rsidRPr="006C02EF">
        <w:rPr>
          <w:rFonts w:hAnsi="Times New Roman" w:ascii="Times New Roman"/>
          <w:lang w:val="hr-HR"/>
        </w:rPr>
        <w:t>e.</w:t>
      </w:r>
    </w:p>
    <w:p w:rsidRDefault="006C02EF" w:rsidP="006C02EF" w:rsidR="006C02EF" w:rsidRPr="006C02EF">
      <w:pPr>
        <w:rPr>
          <w:rFonts w:hAnsi="Times New Roman" w:ascii="Times New Roman"/>
          <w:lang w:val="hr-HR"/>
        </w:rPr>
      </w:pPr>
    </w:p>
    <w:p w:rsidRDefault="006C02EF" w:rsidP="006C02EF" w:rsidR="006C02EF">
      <w:pPr>
        <w:ind w:firstLine="708"/>
        <w:rPr>
          <w:rFonts w:hAnsi="Times New Roman" w:ascii="Times New Roman"/>
          <w:lang w:val="hr-HR"/>
        </w:rPr>
      </w:pPr>
      <w:r w:rsidRPr="006C02EF">
        <w:rPr>
          <w:rFonts w:hAnsi="Times New Roman" w:ascii="Times New Roman"/>
          <w:lang w:val="hr-HR"/>
        </w:rPr>
        <w:t>Ste</w:t>
      </w:r>
      <w:r w:rsidRPr="006C02EF">
        <w:rPr>
          <w:rFonts w:hAnsi="Times New Roman" w:ascii="Times New Roman" w:hint="eastAsia"/>
          <w:lang w:val="hr-HR"/>
        </w:rPr>
        <w:t>č</w:t>
      </w:r>
      <w:r w:rsidRPr="006C02EF">
        <w:rPr>
          <w:rFonts w:hAnsi="Times New Roman" w:ascii="Times New Roman"/>
          <w:lang w:val="hr-HR"/>
        </w:rPr>
        <w:t>ajni upravitelj izlaže svoje izvješ</w:t>
      </w:r>
      <w:r w:rsidRPr="006C02EF">
        <w:rPr>
          <w:rFonts w:hAnsi="Times New Roman" w:ascii="Times New Roman" w:hint="eastAsia"/>
          <w:lang w:val="hr-HR"/>
        </w:rPr>
        <w:t>ć</w:t>
      </w:r>
      <w:r w:rsidRPr="006C02EF">
        <w:rPr>
          <w:rFonts w:hAnsi="Times New Roman" w:ascii="Times New Roman"/>
          <w:lang w:val="hr-HR"/>
        </w:rPr>
        <w:t>e kako slijedi :</w:t>
      </w:r>
    </w:p>
    <w:p w:rsidRDefault="006C02EF" w:rsidP="006C02EF" w:rsidR="006C02EF">
      <w:pPr>
        <w:rPr>
          <w:rFonts w:hAnsi="Times New Roman" w:ascii="Times New Roman"/>
          <w:lang w:val="hr-HR"/>
        </w:rPr>
      </w:pPr>
    </w:p>
    <w:p w:rsidRDefault="00FF642A" w:rsidP="006C02EF" w:rsidR="006C02EF" w:rsidRPr="006C02EF">
      <w:pPr>
        <w:pStyle w:val="Bezproreda"/>
        <w:jc w:val="both"/>
        <w:rPr>
          <w:rFonts w:cs="Times New Roman" w:hAnsi="Times New Roman" w:ascii="Times New Roman"/>
          <w:b/>
          <w:sz w:val="24"/>
          <w:szCs w:val="24"/>
        </w:rPr>
      </w:pPr>
      <w:r>
        <w:rPr>
          <w:rFonts w:cs="Times New Roman" w:eastAsia="Times New Roman" w:hAnsi="Times New Roman" w:ascii="Times New Roman"/>
          <w:snapToGrid w:val="false"/>
          <w:sz w:val="24"/>
          <w:szCs w:val="20"/>
        </w:rPr>
        <w:t>"</w:t>
      </w:r>
      <w:r w:rsidR="006C02EF" w:rsidRPr="006C02EF">
        <w:rPr>
          <w:rFonts w:cs="Times New Roman" w:hAnsi="Times New Roman" w:ascii="Times New Roman"/>
          <w:b/>
          <w:sz w:val="24"/>
          <w:szCs w:val="24"/>
        </w:rPr>
        <w:t>GOSPODARSKI POLOŽAJ STEČAJNOG DUŽNIKA PRIJE OTVARANJA STEČAJNOG POSTUPKA</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-Trgovačko društvo N.T.L. d.o.o. Čakovec ima otvorene račune kod Raieffesenbank Austria d.d. i to:</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HR81 24840081101386264 i</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HR80 24840091500189269</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-Trgovačko društvo N.T.L. d.o.o. nema zaposlenika. Posljednji zaposlenik je prestao sa radom 30.09.2015 godine</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-Trgovačko društvo N.T.L. d.o.o. ne posjeduje niti je ikada posjedovalo nekretnine.</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 Sudskih sporova nema.</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Do blokade žiro- računa  i posljedično tome prestanka do tada normalnog poslovanja društva došlo je zbog aktiviranja jamstva koje je društvo dalo poduzeću Chinchilla d.o.o. iz Čakovca za kredit kod Erste Banke d.d.. Kako se radi o višemilijunskom iznosu tvrtka N.T.l. d.o.o.  svojim poslovanjem nije bila u stanju namiriti nastala dugovanja, pa je došlo do blokade žiro-računa i potpunog gašenja poslovne aktivnosti, jer tvrtka nije mogla izvršiti svoje obveze prema Poreznoj upravi i drugim dobavljačima, a i  radnici su napustili tvrtku zbog otežanih uvjeta poslovanja.</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 xml:space="preserve">Na ime jamstva  sa žiro-računa dužnika naplaćen je iznos od 82.210,78 kn od strane Erste banke. </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Društvo je poslovalo u unajmljenom prostoru u vlasništvu poduzeća Chinchilla d.o.o. ulagalo  u održavanje prostora kako bi se stvorili minimalni uvjeti za rad, a koje se kompenziralo sa  dugom za najam. Ulaganje u tuđu imovinu u iznosu od  85.492,00 kn je  nenaplativo budući da najmodavac ima blokiran račun i neizvjesno je da slijedi mu slijedi stečajni postupak.</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7E657D">
      <w:pPr>
        <w:pStyle w:val="Bezproreda"/>
        <w:jc w:val="both"/>
        <w:rPr>
          <w:rFonts w:cs="Times New Roman" w:hAnsi="Times New Roman" w:ascii="Times New Roman"/>
          <w:b/>
          <w:sz w:val="24"/>
          <w:szCs w:val="24"/>
          <w:u w:val="single"/>
        </w:rPr>
      </w:pPr>
      <w:r w:rsidRPr="006C02EF">
        <w:rPr>
          <w:rFonts w:cs="Times New Roman" w:hAnsi="Times New Roman" w:ascii="Times New Roman"/>
          <w:b/>
          <w:sz w:val="24"/>
          <w:szCs w:val="24"/>
          <w:u w:val="single"/>
        </w:rPr>
        <w:t>Pokretnine</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Kako stoji u popisu pokretnina sačinjenom od strane bivšeg direktora Dejana Hozmeca pokretnine čine  vozila :</w:t>
      </w:r>
    </w:p>
    <w:p w:rsidRDefault="006C02EF" w:rsidP="006C02EF" w:rsidR="006C02EF" w:rsidRPr="006C02EF">
      <w:pPr>
        <w:pStyle w:val="Bezproreda"/>
        <w:numPr>
          <w:ilvl w:val="0"/>
          <w:numId w:val="3"/>
        </w:numPr>
        <w:jc w:val="both"/>
        <w:rPr>
          <w:rFonts w:cs="Times New Roman" w:hAnsi="Times New Roman" w:ascii="Times New Roman"/>
          <w:sz w:val="24"/>
          <w:szCs w:val="24"/>
        </w:rPr>
      </w:pPr>
      <w:r w:rsidRPr="006C02EF">
        <w:rPr>
          <w:rFonts w:cs="Times New Roman" w:hAnsi="Times New Roman" w:ascii="Times New Roman"/>
          <w:sz w:val="24"/>
          <w:szCs w:val="24"/>
        </w:rPr>
        <w:t>vozila</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Kamion DAF FA 800 g. 1991,</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Vozilo Cady Peugeot Partner 20 HDI g.204,</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Viličar plinski Nissaan 141,5 t.</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Alati</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Repromaterijal</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Ulaganje u tuđu imovinu,</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 xml:space="preserve">A prema  Uvjerenj PU- Međimurska, prema službenoj evidenciji registracije cestovnih vozila tvrtka N.T.L. d.o.o. evidentirana je kao vlasnik vozila: </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1. M1, marka PEUGEOT PARTNER 2,0 HDI PACK, god. Proizvodnje 2004, broj šasije Vf3GJRHYK95088652, reg oznaka ČK348DH, odjavljeno 19.10.2016 godine. Za vozilo nema podataka o teretima.-</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lastRenderedPageBreak/>
        <w:t>2.N2,marke DAF FA 800, godina proizvodnje 1991, broj šasije XLRAE10CTOL052044, reg oznaka ČK431DR, odjavljeno 29.08.2014 godine. Za vozilo nema podataka o teretima.</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Pokretnine dužnika se sastoje od:</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ulaganja u tuđu imovinu</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skladišni montažni šator ( oštećen9</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bušilica</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viličar Nissan- plinski</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kratkotrajne imovine-zalihe materijala</w:t>
      </w:r>
    </w:p>
    <w:p w:rsidRDefault="006C02EF" w:rsidP="006C02EF" w:rsidR="006C02EF" w:rsidRPr="006C02EF">
      <w:pPr>
        <w:pStyle w:val="Bezproreda"/>
        <w:numPr>
          <w:ilvl w:val="0"/>
          <w:numId w:val="2"/>
        </w:numPr>
        <w:jc w:val="both"/>
        <w:rPr>
          <w:rFonts w:cs="Times New Roman" w:hAnsi="Times New Roman" w:ascii="Times New Roman"/>
          <w:sz w:val="24"/>
          <w:szCs w:val="24"/>
        </w:rPr>
      </w:pPr>
      <w:r w:rsidRPr="006C02EF">
        <w:rPr>
          <w:rFonts w:cs="Times New Roman" w:hAnsi="Times New Roman" w:ascii="Times New Roman"/>
          <w:sz w:val="24"/>
          <w:szCs w:val="24"/>
        </w:rPr>
        <w:t>kratkotrajne imovine-roba na skladištu</w:t>
      </w:r>
    </w:p>
    <w:p w:rsidRDefault="006C02EF" w:rsidP="006C02EF" w:rsidR="006C02EF" w:rsidRPr="006C02EF">
      <w:pPr>
        <w:pStyle w:val="Bezproreda"/>
        <w:ind w:left="360"/>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b/>
          <w:sz w:val="24"/>
          <w:szCs w:val="24"/>
        </w:rPr>
      </w:pPr>
      <w:r w:rsidRPr="006C02EF">
        <w:rPr>
          <w:rFonts w:cs="Times New Roman" w:hAnsi="Times New Roman" w:ascii="Times New Roman"/>
          <w:b/>
          <w:sz w:val="24"/>
          <w:szCs w:val="24"/>
        </w:rPr>
        <w:t>Pokretnine u  ukupnoj vrijednosti cca, 204.648,49 kn</w:t>
      </w:r>
    </w:p>
    <w:p w:rsidRDefault="006C02EF" w:rsidP="006C02EF" w:rsidR="006C02EF" w:rsidRPr="006C02EF">
      <w:pPr>
        <w:pStyle w:val="Bezproreda"/>
        <w:jc w:val="both"/>
        <w:rPr>
          <w:rFonts w:cs="Times New Roman" w:hAnsi="Times New Roman" w:ascii="Times New Roman"/>
          <w:b/>
          <w:sz w:val="24"/>
          <w:szCs w:val="24"/>
        </w:rPr>
      </w:pPr>
    </w:p>
    <w:p w:rsidRDefault="006C02EF" w:rsidP="006C02EF" w:rsidR="006C02EF" w:rsidRPr="006C02EF">
      <w:pPr>
        <w:pStyle w:val="Bezproreda"/>
        <w:jc w:val="both"/>
        <w:rPr>
          <w:rFonts w:cs="Times New Roman" w:hAnsi="Times New Roman" w:ascii="Times New Roman"/>
          <w:b/>
          <w:sz w:val="24"/>
          <w:szCs w:val="24"/>
        </w:rPr>
      </w:pPr>
      <w:r w:rsidRPr="006C02EF">
        <w:rPr>
          <w:rFonts w:cs="Times New Roman" w:hAnsi="Times New Roman" w:ascii="Times New Roman"/>
          <w:b/>
          <w:sz w:val="24"/>
          <w:szCs w:val="24"/>
        </w:rPr>
        <w:t>Novčane tražbine stečajnog dužnika</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Temeljem uvida u bilančno stanje  dužnik potražuje 740.781,22 kn. Ističem da  potraživanja prema  većini dužnika su nenaplativa zbog blokade računa, Predstečajne nagodbe, stečaja, te prezaduženosti i prijeteće nesposobnosti za plaćanje.</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Najveći dužnici kao Chinchilla d.o.o., Coning ekogradnja d.o.o., G.P. Grading d.o.o., građevinarstvo Stipić, Hidrocomerce d.o.o., INNIMM system d.o.o.. U slučajevima gdje je moguća naplata sam poslao  opomenu pred prisilnu naplatu.</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b/>
          <w:sz w:val="24"/>
          <w:szCs w:val="24"/>
        </w:rPr>
        <w:t xml:space="preserve">Novčane tražbine ukupno iznose  740.718,22 kn </w:t>
      </w:r>
      <w:r w:rsidRPr="006C02EF">
        <w:rPr>
          <w:rFonts w:cs="Times New Roman" w:hAnsi="Times New Roman" w:ascii="Times New Roman"/>
          <w:sz w:val="24"/>
          <w:szCs w:val="24"/>
        </w:rPr>
        <w:t>( tražbine od 26 tvrtki)</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rsidRPr="006C02EF">
      <w:pPr>
        <w:pStyle w:val="Bezproreda"/>
        <w:jc w:val="both"/>
        <w:rPr>
          <w:rFonts w:cs="Times New Roman" w:hAnsi="Times New Roman" w:ascii="Times New Roman"/>
          <w:b/>
          <w:sz w:val="24"/>
          <w:szCs w:val="24"/>
          <w:u w:val="single"/>
        </w:rPr>
      </w:pPr>
      <w:r w:rsidRPr="006C02EF">
        <w:rPr>
          <w:rFonts w:cs="Times New Roman" w:hAnsi="Times New Roman" w:ascii="Times New Roman"/>
          <w:b/>
          <w:sz w:val="24"/>
          <w:szCs w:val="24"/>
          <w:u w:val="single"/>
        </w:rPr>
        <w:t>Nekretnine</w:t>
      </w:r>
    </w:p>
    <w:p w:rsidRDefault="006C02EF" w:rsidP="006C02EF" w:rsidR="006C02EF" w:rsidRP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Potvrdom Zemljišno-knjižnog odjela Čakovec, potvrđuje se da trgovačko društvo N.T.L. d.o.o. u stečaju, nije  upisano u proteklih četiri godine kao vlasnik nekretnina na području nadležnosti ovog zemljišnoknjižnog odjela.</w:t>
      </w:r>
    </w:p>
    <w:p w:rsidRDefault="006C02EF" w:rsidP="006C02EF" w:rsidR="006C02EF" w:rsidRPr="006C02EF">
      <w:pPr>
        <w:pStyle w:val="Bezproreda"/>
        <w:jc w:val="both"/>
        <w:rPr>
          <w:rFonts w:cs="Times New Roman" w:hAnsi="Times New Roman" w:ascii="Times New Roman"/>
          <w:sz w:val="24"/>
          <w:szCs w:val="24"/>
        </w:rPr>
      </w:pPr>
    </w:p>
    <w:p w:rsidRDefault="006C02EF" w:rsidP="006C02EF" w:rsidR="006C02EF">
      <w:pPr>
        <w:pStyle w:val="Bezproreda"/>
        <w:jc w:val="both"/>
        <w:rPr>
          <w:rFonts w:cs="Times New Roman" w:hAnsi="Times New Roman" w:ascii="Times New Roman"/>
          <w:sz w:val="24"/>
          <w:szCs w:val="24"/>
        </w:rPr>
      </w:pPr>
      <w:r w:rsidRPr="006C02EF">
        <w:rPr>
          <w:rFonts w:cs="Times New Roman" w:hAnsi="Times New Roman" w:ascii="Times New Roman"/>
          <w:sz w:val="24"/>
          <w:szCs w:val="24"/>
        </w:rPr>
        <w:t>Od stečajnog dužnika dobivena je financijski-knjigovodstvena dokumentacija do otvaranja stečajnog postupka, te je sastavljena slijedeća tablica:</w:t>
      </w:r>
    </w:p>
    <w:p w:rsidRDefault="006C02EF" w:rsidP="006C02EF" w:rsidR="006C02EF">
      <w:pPr>
        <w:pStyle w:val="Bezproreda"/>
        <w:jc w:val="both"/>
        <w:rPr>
          <w:rFonts w:cs="Times New Roman" w:hAnsi="Times New Roman" w:ascii="Times New Roman"/>
          <w:sz w:val="24"/>
          <w:szCs w:val="24"/>
        </w:rPr>
      </w:pPr>
    </w:p>
    <w:p w:rsidRDefault="006C02EF" w:rsidP="006C02EF" w:rsidR="006C02EF">
      <w:pPr>
        <w:pStyle w:val="Bezproreda"/>
        <w:jc w:val="both"/>
        <w:rPr>
          <w:rFonts w:cs="Times New Roman" w:hAnsi="Times New Roman" w:ascii="Times New Roman"/>
          <w:sz w:val="24"/>
          <w:szCs w:val="24"/>
        </w:rPr>
      </w:pPr>
    </w:p>
    <w:tbl>
      <w:tblPr>
        <w:tblW w:type="dxa" w:w="9322"/>
        <w:tblInd w:type="dxa" w:w="-34"/>
        <w:tblLook w:val="04A0" w:noVBand="1" w:noHBand="0" w:lastColumn="0" w:firstColumn="1" w:lastRow="0" w:firstRow="1"/>
      </w:tblPr>
      <w:tblGrid>
        <w:gridCol w:w="1032"/>
        <w:gridCol w:w="451"/>
        <w:gridCol w:w="1563"/>
        <w:gridCol w:w="6"/>
        <w:gridCol w:w="1968"/>
        <w:gridCol w:w="951"/>
        <w:gridCol w:w="426"/>
        <w:gridCol w:w="1548"/>
        <w:gridCol w:w="1377"/>
      </w:tblGrid>
      <w:tr w:rsidTr="008601E2" w:rsidR="006C02EF" w:rsidRPr="00FF642A">
        <w:trPr>
          <w:trHeight w:val="255"/>
        </w:trPr>
        <w:tc>
          <w:tcPr>
            <w:tcW w:type="dxa" w:w="1032"/>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c>
          <w:tcPr>
            <w:tcW w:type="dxa" w:w="451"/>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c>
          <w:tcPr>
            <w:tcW w:type="dxa" w:w="1569"/>
            <w:gridSpan w:val="2"/>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c>
          <w:tcPr>
            <w:tcW w:type="dxa" w:w="2919"/>
            <w:gridSpan w:val="2"/>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c>
          <w:tcPr>
            <w:tcW w:type="dxa" w:w="1974"/>
            <w:gridSpan w:val="2"/>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c>
          <w:tcPr>
            <w:tcW w:type="dxa" w:w="1377"/>
            <w:tcBorders>
              <w:top w:val="nil"/>
              <w:left w:val="nil"/>
              <w:bottom w:val="nil"/>
              <w:right w:val="nil"/>
            </w:tcBorders>
            <w:shd w:fill="auto" w:color="auto" w:val="clear"/>
            <w:noWrap/>
            <w:vAlign w:val="bottom"/>
            <w:hideMark/>
          </w:tcPr>
          <w:p w:rsidRDefault="006C02EF" w:rsidP="008601E2" w:rsidR="006C02EF" w:rsidRPr="006C02EF">
            <w:pPr>
              <w:rPr>
                <w:rFonts w:hAnsi="Calibri" w:ascii="Calibri"/>
                <w:color w:val="000000"/>
                <w:sz w:val="20"/>
                <w:lang w:eastAsia="hr-HR" w:val="hr-HR"/>
              </w:rPr>
            </w:pPr>
          </w:p>
        </w:tc>
      </w:tr>
      <w:tr w:rsidTr="008601E2" w:rsidR="006C02EF" w:rsidRPr="00296FB6">
        <w:trPr>
          <w:gridAfter w:val="1"/>
          <w:wAfter w:type="dxa" w:w="1377"/>
          <w:trHeight w:val="439"/>
        </w:trPr>
        <w:tc>
          <w:tcPr>
            <w:tcW w:type="dxa" w:w="5971"/>
            <w:gridSpan w:val="6"/>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6C02EF" w:rsidP="008601E2" w:rsidR="006C02EF" w:rsidRPr="00296FB6">
            <w:pPr>
              <w:rPr>
                <w:rFonts w:hAnsi="Calibri" w:ascii="Calibri"/>
                <w:b/>
                <w:bCs/>
                <w:color w:val="000000"/>
                <w:sz w:val="18"/>
                <w:szCs w:val="18"/>
                <w:lang w:eastAsia="hr-HR"/>
              </w:rPr>
            </w:pPr>
            <w:r w:rsidRPr="00296FB6">
              <w:rPr>
                <w:rFonts w:hAnsi="Calibri" w:ascii="Calibri"/>
                <w:b/>
                <w:bCs/>
                <w:color w:val="000000"/>
                <w:sz w:val="18"/>
                <w:szCs w:val="18"/>
                <w:lang w:eastAsia="hr-HR"/>
              </w:rPr>
              <w:t>IMOVINA</w:t>
            </w:r>
          </w:p>
        </w:tc>
        <w:tc>
          <w:tcPr>
            <w:tcW w:type="dxa" w:w="1974"/>
            <w:gridSpan w:val="2"/>
            <w:tcBorders>
              <w:top w:val="nil"/>
              <w:left w:val="nil"/>
              <w:bottom w:val="nil"/>
              <w:right w:val="nil"/>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p>
        </w:tc>
      </w:tr>
      <w:tr w:rsidTr="008601E2" w:rsidR="006C02EF" w:rsidRPr="00296FB6">
        <w:trPr>
          <w:trHeight w:val="600"/>
        </w:trPr>
        <w:tc>
          <w:tcPr>
            <w:tcW w:type="dxa" w:w="1032"/>
            <w:tcBorders>
              <w:top w:val="nil"/>
              <w:left w:space="0" w:sz="4" w:color="auto" w:val="single"/>
              <w:bottom w:space="0" w:sz="4" w:color="auto" w:val="single"/>
              <w:right w:space="0" w:sz="4" w:color="auto" w:val="single"/>
            </w:tcBorders>
            <w:shd w:fill="D9D9D9" w:color="000000" w:val="clear"/>
            <w:noWrap/>
            <w:vAlign w:val="center"/>
            <w:hideMark/>
          </w:tcPr>
          <w:p w:rsidRDefault="006C02EF" w:rsidP="008601E2" w:rsidR="006C02EF" w:rsidRPr="00296FB6">
            <w:pPr>
              <w:rPr>
                <w:rFonts w:hAnsi="Calibri" w:ascii="Calibri"/>
                <w:b/>
                <w:bCs/>
                <w:color w:val="000000"/>
                <w:sz w:val="18"/>
                <w:szCs w:val="18"/>
                <w:lang w:eastAsia="hr-HR"/>
              </w:rPr>
            </w:pPr>
            <w:r w:rsidRPr="00296FB6">
              <w:rPr>
                <w:rFonts w:hAnsi="Calibri" w:ascii="Calibri"/>
                <w:b/>
                <w:bCs/>
                <w:color w:val="000000"/>
                <w:sz w:val="18"/>
                <w:szCs w:val="18"/>
                <w:lang w:eastAsia="hr-HR"/>
              </w:rPr>
              <w:t>R.br.</w:t>
            </w:r>
          </w:p>
        </w:tc>
        <w:tc>
          <w:tcPr>
            <w:tcW w:type="dxa" w:w="4939"/>
            <w:gridSpan w:val="5"/>
            <w:tcBorders>
              <w:top w:space="0" w:sz="4" w:color="auto" w:val="single"/>
              <w:left w:val="nil"/>
              <w:bottom w:space="0" w:sz="4" w:color="auto" w:val="single"/>
              <w:right w:space="0" w:sz="4" w:color="000000" w:val="single"/>
            </w:tcBorders>
            <w:shd w:fill="D9D9D9" w:color="000000" w:val="clear"/>
            <w:noWrap/>
            <w:vAlign w:val="center"/>
            <w:hideMark/>
          </w:tcPr>
          <w:p w:rsidRDefault="006C02EF" w:rsidP="008601E2" w:rsidR="006C02EF" w:rsidRPr="00296FB6">
            <w:pPr>
              <w:rPr>
                <w:rFonts w:hAnsi="Calibri" w:ascii="Calibri"/>
                <w:b/>
                <w:bCs/>
                <w:color w:val="000000"/>
                <w:sz w:val="18"/>
                <w:szCs w:val="18"/>
                <w:lang w:eastAsia="hr-HR"/>
              </w:rPr>
            </w:pPr>
            <w:r w:rsidRPr="00296FB6">
              <w:rPr>
                <w:rFonts w:hAnsi="Calibri" w:ascii="Calibri"/>
                <w:b/>
                <w:bCs/>
                <w:color w:val="000000"/>
                <w:sz w:val="18"/>
                <w:szCs w:val="18"/>
                <w:lang w:eastAsia="hr-HR"/>
              </w:rPr>
              <w:t>Opis</w:t>
            </w:r>
          </w:p>
        </w:tc>
        <w:tc>
          <w:tcPr>
            <w:tcW w:type="dxa" w:w="1974"/>
            <w:gridSpan w:val="2"/>
            <w:tcBorders>
              <w:top w:space="0" w:sz="4" w:color="auto" w:val="single"/>
              <w:left w:val="nil"/>
              <w:bottom w:space="0" w:sz="4" w:color="auto" w:val="single"/>
              <w:right w:space="0" w:sz="4" w:color="auto" w:val="single"/>
            </w:tcBorders>
            <w:shd w:fill="D9D9D9" w:color="000000" w:val="clear"/>
            <w:noWrap/>
            <w:vAlign w:val="center"/>
            <w:hideMark/>
          </w:tcPr>
          <w:p w:rsidRDefault="006C02EF" w:rsidP="008601E2" w:rsidR="006C02EF" w:rsidRPr="00296FB6">
            <w:pPr>
              <w:jc w:val="center"/>
              <w:rPr>
                <w:rFonts w:hAnsi="Calibri" w:ascii="Calibri"/>
                <w:b/>
                <w:bCs/>
                <w:color w:val="000000"/>
                <w:sz w:val="18"/>
                <w:szCs w:val="18"/>
                <w:lang w:eastAsia="hr-HR"/>
              </w:rPr>
            </w:pPr>
            <w:r w:rsidRPr="00296FB6">
              <w:rPr>
                <w:rFonts w:hAnsi="Calibri" w:ascii="Calibri"/>
                <w:b/>
                <w:bCs/>
                <w:color w:val="000000"/>
                <w:sz w:val="18"/>
                <w:szCs w:val="18"/>
                <w:lang w:eastAsia="hr-HR"/>
              </w:rPr>
              <w:t>Napomena</w:t>
            </w:r>
          </w:p>
        </w:tc>
        <w:tc>
          <w:tcPr>
            <w:tcW w:type="dxa" w:w="1377"/>
            <w:tcBorders>
              <w:top w:space="0" w:sz="4" w:color="auto" w:val="single"/>
              <w:left w:val="nil"/>
              <w:bottom w:space="0" w:sz="4" w:color="auto" w:val="single"/>
              <w:right w:space="0" w:sz="4" w:color="auto" w:val="single"/>
            </w:tcBorders>
            <w:shd w:fill="D9D9D9" w:color="000000" w:val="clear"/>
            <w:noWrap/>
            <w:vAlign w:val="center"/>
            <w:hideMark/>
          </w:tcPr>
          <w:p w:rsidRDefault="006C02EF" w:rsidP="008601E2" w:rsidR="006C02EF" w:rsidRPr="00296FB6">
            <w:pPr>
              <w:jc w:val="center"/>
              <w:rPr>
                <w:rFonts w:hAnsi="Calibri" w:ascii="Calibri"/>
                <w:b/>
                <w:bCs/>
                <w:color w:val="000000"/>
                <w:sz w:val="18"/>
                <w:szCs w:val="18"/>
                <w:lang w:eastAsia="hr-HR"/>
              </w:rPr>
            </w:pPr>
            <w:r w:rsidRPr="00296FB6">
              <w:rPr>
                <w:rFonts w:hAnsi="Calibri" w:ascii="Calibri"/>
                <w:b/>
                <w:bCs/>
                <w:color w:val="000000"/>
                <w:sz w:val="18"/>
                <w:szCs w:val="18"/>
                <w:lang w:eastAsia="hr-HR"/>
              </w:rPr>
              <w:t>Iznos</w:t>
            </w:r>
          </w:p>
        </w:tc>
      </w:tr>
      <w:tr w:rsidTr="008601E2" w:rsidR="006C02EF" w:rsidRPr="00296FB6">
        <w:trPr>
          <w:trHeight w:val="450"/>
        </w:trPr>
        <w:tc>
          <w:tcPr>
            <w:tcW w:type="dxa" w:w="1032"/>
            <w:tcBorders>
              <w:top w:val="nil"/>
              <w:left w:space="0" w:sz="4" w:color="auto" w:val="single"/>
              <w:bottom w:space="0" w:sz="4" w:color="auto" w:val="single"/>
              <w:right w:space="0" w:sz="4" w:color="auto" w:val="single"/>
            </w:tcBorders>
            <w:shd w:fill="auto" w:color="auto" w:val="clear"/>
            <w:noWrap/>
            <w:vAlign w:val="center"/>
            <w:hideMark/>
          </w:tcPr>
          <w:p w:rsidRDefault="006C02EF" w:rsidP="008601E2" w:rsidR="006C02EF" w:rsidRPr="00296FB6">
            <w:pPr>
              <w:jc w:val="center"/>
              <w:rPr>
                <w:rFonts w:hAnsi="Calibri" w:ascii="Calibri"/>
                <w:color w:val="000000"/>
                <w:sz w:val="18"/>
                <w:szCs w:val="18"/>
                <w:lang w:eastAsia="hr-HR"/>
              </w:rPr>
            </w:pPr>
            <w:r w:rsidRPr="00296FB6">
              <w:rPr>
                <w:rFonts w:hAnsi="Calibri" w:ascii="Calibri"/>
                <w:color w:val="000000"/>
                <w:sz w:val="18"/>
                <w:szCs w:val="18"/>
                <w:lang w:eastAsia="hr-HR"/>
              </w:rPr>
              <w:t>1</w:t>
            </w:r>
          </w:p>
        </w:tc>
        <w:tc>
          <w:tcPr>
            <w:tcW w:type="dxa" w:w="4939"/>
            <w:gridSpan w:val="5"/>
            <w:tcBorders>
              <w:top w:space="0" w:sz="4" w:color="auto" w:val="single"/>
              <w:left w:val="nil"/>
              <w:bottom w:space="0" w:sz="4" w:color="auto" w:val="single"/>
              <w:right w:space="0" w:sz="4" w:color="auto" w:val="single"/>
            </w:tcBorders>
            <w:shd w:fill="auto" w:color="auto" w:val="clear"/>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Dugotrajna materijalna imovina (popis predmeta stečajne mase)</w:t>
            </w:r>
          </w:p>
        </w:tc>
        <w:tc>
          <w:tcPr>
            <w:tcW w:type="dxa" w:w="1974"/>
            <w:gridSpan w:val="2"/>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Inventura, analitika OS</w:t>
            </w:r>
          </w:p>
        </w:tc>
        <w:tc>
          <w:tcPr>
            <w:tcW w:type="dxa" w:w="1377"/>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jc w:val="right"/>
              <w:rPr>
                <w:rFonts w:hAnsi="Calibri" w:ascii="Calibri"/>
                <w:color w:val="000000"/>
                <w:sz w:val="18"/>
                <w:szCs w:val="18"/>
                <w:lang w:eastAsia="hr-HR"/>
              </w:rPr>
            </w:pPr>
            <w:r w:rsidRPr="00296FB6">
              <w:rPr>
                <w:rFonts w:hAnsi="Calibri" w:ascii="Calibri"/>
                <w:color w:val="000000"/>
                <w:sz w:val="18"/>
                <w:szCs w:val="18"/>
                <w:lang w:eastAsia="hr-HR"/>
              </w:rPr>
              <w:t>23.401,77</w:t>
            </w:r>
          </w:p>
        </w:tc>
      </w:tr>
      <w:tr w:rsidTr="008601E2" w:rsidR="006C02EF" w:rsidRPr="00296FB6">
        <w:trPr>
          <w:trHeight w:val="450"/>
        </w:trPr>
        <w:tc>
          <w:tcPr>
            <w:tcW w:type="dxa" w:w="1032"/>
            <w:tcBorders>
              <w:top w:val="nil"/>
              <w:left w:space="0" w:sz="4" w:color="auto" w:val="single"/>
              <w:bottom w:space="0" w:sz="4" w:color="auto" w:val="single"/>
              <w:right w:space="0" w:sz="4" w:color="auto" w:val="single"/>
            </w:tcBorders>
            <w:shd w:fill="auto" w:color="auto" w:val="clear"/>
            <w:noWrap/>
            <w:vAlign w:val="center"/>
            <w:hideMark/>
          </w:tcPr>
          <w:p w:rsidRDefault="006C02EF" w:rsidP="008601E2" w:rsidR="006C02EF" w:rsidRPr="00296FB6">
            <w:pPr>
              <w:jc w:val="center"/>
              <w:rPr>
                <w:rFonts w:hAnsi="Calibri" w:ascii="Calibri"/>
                <w:color w:val="000000"/>
                <w:sz w:val="18"/>
                <w:szCs w:val="18"/>
                <w:lang w:eastAsia="hr-HR"/>
              </w:rPr>
            </w:pPr>
            <w:r w:rsidRPr="00296FB6">
              <w:rPr>
                <w:rFonts w:hAnsi="Calibri" w:ascii="Calibri"/>
                <w:color w:val="000000"/>
                <w:sz w:val="18"/>
                <w:szCs w:val="18"/>
                <w:lang w:eastAsia="hr-HR"/>
              </w:rPr>
              <w:t>2</w:t>
            </w:r>
          </w:p>
        </w:tc>
        <w:tc>
          <w:tcPr>
            <w:tcW w:type="dxa" w:w="4939"/>
            <w:gridSpan w:val="5"/>
            <w:tcBorders>
              <w:top w:space="0" w:sz="4" w:color="auto" w:val="single"/>
              <w:left w:val="nil"/>
              <w:bottom w:space="0" w:sz="4" w:color="auto" w:val="single"/>
              <w:right w:space="0" w:sz="4" w:color="000000" w:val="single"/>
            </w:tcBorders>
            <w:shd w:fill="auto" w:color="auto" w:val="clear"/>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Dugotrajna nematerijalna imovina i potraživanja</w:t>
            </w:r>
          </w:p>
        </w:tc>
        <w:tc>
          <w:tcPr>
            <w:tcW w:type="dxa" w:w="1974"/>
            <w:gridSpan w:val="2"/>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Inventura, analitika OS</w:t>
            </w:r>
          </w:p>
        </w:tc>
        <w:tc>
          <w:tcPr>
            <w:tcW w:type="dxa" w:w="1377"/>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jc w:val="right"/>
              <w:rPr>
                <w:rFonts w:hAnsi="Calibri" w:ascii="Calibri"/>
                <w:color w:val="000000"/>
                <w:sz w:val="18"/>
                <w:szCs w:val="18"/>
                <w:lang w:eastAsia="hr-HR"/>
              </w:rPr>
            </w:pPr>
            <w:r w:rsidRPr="00296FB6">
              <w:rPr>
                <w:rFonts w:hAnsi="Calibri" w:ascii="Calibri"/>
                <w:color w:val="000000"/>
                <w:sz w:val="18"/>
                <w:szCs w:val="18"/>
                <w:lang w:eastAsia="hr-HR"/>
              </w:rPr>
              <w:t>202.007,15</w:t>
            </w:r>
          </w:p>
        </w:tc>
      </w:tr>
      <w:tr w:rsidTr="008601E2" w:rsidR="006C02EF" w:rsidRPr="00296FB6">
        <w:trPr>
          <w:trHeight w:val="450"/>
        </w:trPr>
        <w:tc>
          <w:tcPr>
            <w:tcW w:type="dxa" w:w="1032"/>
            <w:tcBorders>
              <w:top w:val="nil"/>
              <w:left w:space="0" w:sz="4" w:color="auto" w:val="single"/>
              <w:bottom w:space="0" w:sz="4" w:color="auto" w:val="single"/>
              <w:right w:space="0" w:sz="4" w:color="auto" w:val="single"/>
            </w:tcBorders>
            <w:shd w:fill="auto" w:color="auto" w:val="clear"/>
            <w:noWrap/>
            <w:vAlign w:val="center"/>
            <w:hideMark/>
          </w:tcPr>
          <w:p w:rsidRDefault="006C02EF" w:rsidP="008601E2" w:rsidR="006C02EF" w:rsidRPr="00296FB6">
            <w:pPr>
              <w:jc w:val="center"/>
              <w:rPr>
                <w:rFonts w:hAnsi="Calibri" w:ascii="Calibri"/>
                <w:color w:val="000000"/>
                <w:sz w:val="18"/>
                <w:szCs w:val="18"/>
                <w:lang w:eastAsia="hr-HR"/>
              </w:rPr>
            </w:pPr>
            <w:r w:rsidRPr="00296FB6">
              <w:rPr>
                <w:rFonts w:hAnsi="Calibri" w:ascii="Calibri"/>
                <w:color w:val="000000"/>
                <w:sz w:val="18"/>
                <w:szCs w:val="18"/>
                <w:lang w:eastAsia="hr-HR"/>
              </w:rPr>
              <w:t>3</w:t>
            </w:r>
          </w:p>
        </w:tc>
        <w:tc>
          <w:tcPr>
            <w:tcW w:type="dxa" w:w="4939"/>
            <w:gridSpan w:val="5"/>
            <w:tcBorders>
              <w:top w:space="0" w:sz="4" w:color="auto" w:val="single"/>
              <w:left w:val="nil"/>
              <w:bottom w:space="0" w:sz="4" w:color="auto" w:val="single"/>
              <w:right w:space="0" w:sz="4" w:color="auto" w:val="single"/>
            </w:tcBorders>
            <w:shd w:fill="auto" w:color="auto" w:val="clear"/>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Potraživanja od kupaca</w:t>
            </w:r>
          </w:p>
        </w:tc>
        <w:tc>
          <w:tcPr>
            <w:tcW w:type="dxa" w:w="1974"/>
            <w:gridSpan w:val="2"/>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bilanca kupaca</w:t>
            </w:r>
          </w:p>
        </w:tc>
        <w:tc>
          <w:tcPr>
            <w:tcW w:type="dxa" w:w="1377"/>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jc w:val="right"/>
              <w:rPr>
                <w:rFonts w:hAnsi="Calibri" w:ascii="Calibri"/>
                <w:color w:val="000000"/>
                <w:sz w:val="18"/>
                <w:szCs w:val="18"/>
                <w:lang w:eastAsia="hr-HR"/>
              </w:rPr>
            </w:pPr>
            <w:r w:rsidRPr="00296FB6">
              <w:rPr>
                <w:rFonts w:hAnsi="Calibri" w:ascii="Calibri"/>
                <w:color w:val="000000"/>
                <w:sz w:val="18"/>
                <w:szCs w:val="18"/>
                <w:lang w:eastAsia="hr-HR"/>
              </w:rPr>
              <w:t>516.084,26</w:t>
            </w:r>
          </w:p>
        </w:tc>
      </w:tr>
      <w:tr w:rsidTr="008601E2" w:rsidR="006C02EF" w:rsidRPr="00296FB6">
        <w:trPr>
          <w:trHeight w:val="450"/>
        </w:trPr>
        <w:tc>
          <w:tcPr>
            <w:tcW w:type="dxa" w:w="1032"/>
            <w:tcBorders>
              <w:top w:val="nil"/>
              <w:left w:space="0" w:sz="4" w:color="auto" w:val="single"/>
              <w:bottom w:space="0" w:sz="4" w:color="auto" w:val="single"/>
              <w:right w:space="0" w:sz="4" w:color="auto" w:val="single"/>
            </w:tcBorders>
            <w:shd w:fill="auto" w:color="auto" w:val="clear"/>
            <w:noWrap/>
            <w:vAlign w:val="center"/>
            <w:hideMark/>
          </w:tcPr>
          <w:p w:rsidRDefault="006C02EF" w:rsidP="008601E2" w:rsidR="006C02EF" w:rsidRPr="00296FB6">
            <w:pPr>
              <w:jc w:val="center"/>
              <w:rPr>
                <w:rFonts w:hAnsi="Calibri" w:ascii="Calibri"/>
                <w:color w:val="000000"/>
                <w:sz w:val="18"/>
                <w:szCs w:val="18"/>
                <w:lang w:eastAsia="hr-HR"/>
              </w:rPr>
            </w:pPr>
            <w:r w:rsidRPr="00296FB6">
              <w:rPr>
                <w:rFonts w:hAnsi="Calibri" w:ascii="Calibri"/>
                <w:color w:val="000000"/>
                <w:sz w:val="18"/>
                <w:szCs w:val="18"/>
                <w:lang w:eastAsia="hr-HR"/>
              </w:rPr>
              <w:t>4</w:t>
            </w:r>
          </w:p>
        </w:tc>
        <w:tc>
          <w:tcPr>
            <w:tcW w:type="dxa" w:w="4939"/>
            <w:gridSpan w:val="5"/>
            <w:tcBorders>
              <w:top w:space="0" w:sz="4" w:color="auto" w:val="single"/>
              <w:left w:val="nil"/>
              <w:bottom w:space="0" w:sz="4" w:color="auto" w:val="single"/>
              <w:right w:space="0" w:sz="4" w:color="auto" w:val="single"/>
            </w:tcBorders>
            <w:shd w:fill="auto" w:color="auto" w:val="clear"/>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Ostala kratkoročna potraživanja</w:t>
            </w:r>
          </w:p>
        </w:tc>
        <w:tc>
          <w:tcPr>
            <w:tcW w:type="dxa" w:w="1974"/>
            <w:gridSpan w:val="2"/>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bilanca kupaca</w:t>
            </w:r>
          </w:p>
        </w:tc>
        <w:tc>
          <w:tcPr>
            <w:tcW w:type="dxa" w:w="1377"/>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jc w:val="right"/>
              <w:rPr>
                <w:rFonts w:hAnsi="Calibri" w:ascii="Calibri"/>
                <w:color w:val="000000"/>
                <w:sz w:val="18"/>
                <w:szCs w:val="18"/>
                <w:lang w:eastAsia="hr-HR"/>
              </w:rPr>
            </w:pPr>
            <w:r w:rsidRPr="00296FB6">
              <w:rPr>
                <w:rFonts w:hAnsi="Calibri" w:ascii="Calibri"/>
                <w:color w:val="000000"/>
                <w:sz w:val="18"/>
                <w:szCs w:val="18"/>
                <w:lang w:eastAsia="hr-HR"/>
              </w:rPr>
              <w:t>103.933,37</w:t>
            </w:r>
          </w:p>
        </w:tc>
      </w:tr>
      <w:tr w:rsidTr="008601E2" w:rsidR="006C02EF" w:rsidRPr="00296FB6">
        <w:trPr>
          <w:trHeight w:val="450"/>
        </w:trPr>
        <w:tc>
          <w:tcPr>
            <w:tcW w:type="dxa" w:w="1032"/>
            <w:tcBorders>
              <w:top w:val="nil"/>
              <w:left w:space="0" w:sz="4" w:color="auto" w:val="single"/>
              <w:bottom w:space="0" w:sz="4" w:color="auto" w:val="single"/>
              <w:right w:space="0" w:sz="4" w:color="auto" w:val="single"/>
            </w:tcBorders>
            <w:shd w:fill="auto" w:color="auto" w:val="clear"/>
            <w:noWrap/>
            <w:vAlign w:val="center"/>
            <w:hideMark/>
          </w:tcPr>
          <w:p w:rsidRDefault="006C02EF" w:rsidP="008601E2" w:rsidR="006C02EF" w:rsidRPr="00296FB6">
            <w:pPr>
              <w:jc w:val="center"/>
              <w:rPr>
                <w:rFonts w:hAnsi="Calibri" w:ascii="Calibri"/>
                <w:color w:val="000000"/>
                <w:sz w:val="18"/>
                <w:szCs w:val="18"/>
                <w:lang w:eastAsia="hr-HR"/>
              </w:rPr>
            </w:pPr>
            <w:r w:rsidRPr="00296FB6">
              <w:rPr>
                <w:rFonts w:hAnsi="Calibri" w:ascii="Calibri"/>
                <w:color w:val="000000"/>
                <w:sz w:val="18"/>
                <w:szCs w:val="18"/>
                <w:lang w:eastAsia="hr-HR"/>
              </w:rPr>
              <w:t>5</w:t>
            </w:r>
          </w:p>
        </w:tc>
        <w:tc>
          <w:tcPr>
            <w:tcW w:type="dxa" w:w="4939"/>
            <w:gridSpan w:val="5"/>
            <w:tcBorders>
              <w:top w:space="0" w:sz="4" w:color="auto" w:val="single"/>
              <w:left w:val="nil"/>
              <w:bottom w:space="0" w:sz="4" w:color="auto" w:val="single"/>
              <w:right w:space="0" w:sz="4" w:color="auto" w:val="single"/>
            </w:tcBorders>
            <w:shd w:fill="auto" w:color="auto" w:val="clear"/>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Zalihe trgovačke robe</w:t>
            </w:r>
          </w:p>
        </w:tc>
        <w:tc>
          <w:tcPr>
            <w:tcW w:type="dxa" w:w="1974"/>
            <w:gridSpan w:val="2"/>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rPr>
                <w:rFonts w:hAnsi="Calibri" w:ascii="Calibri"/>
                <w:color w:val="000000"/>
                <w:sz w:val="18"/>
                <w:szCs w:val="18"/>
                <w:lang w:eastAsia="hr-HR"/>
              </w:rPr>
            </w:pPr>
            <w:r w:rsidRPr="00296FB6">
              <w:rPr>
                <w:rFonts w:hAnsi="Calibri" w:ascii="Calibri"/>
                <w:color w:val="000000"/>
                <w:sz w:val="18"/>
                <w:szCs w:val="18"/>
                <w:lang w:eastAsia="hr-HR"/>
              </w:rPr>
              <w:t>Materijalna bilanca</w:t>
            </w:r>
          </w:p>
        </w:tc>
        <w:tc>
          <w:tcPr>
            <w:tcW w:type="dxa" w:w="1377"/>
            <w:tcBorders>
              <w:top w:val="nil"/>
              <w:left w:val="nil"/>
              <w:bottom w:space="0" w:sz="4" w:color="auto" w:val="single"/>
              <w:right w:space="0" w:sz="4" w:color="auto" w:val="single"/>
            </w:tcBorders>
            <w:shd w:fill="auto" w:color="auto" w:val="clear"/>
            <w:noWrap/>
            <w:vAlign w:val="center"/>
            <w:hideMark/>
          </w:tcPr>
          <w:p w:rsidRDefault="006C02EF" w:rsidP="008601E2" w:rsidR="006C02EF" w:rsidRPr="00296FB6">
            <w:pPr>
              <w:jc w:val="right"/>
              <w:rPr>
                <w:rFonts w:hAnsi="Calibri" w:ascii="Calibri"/>
                <w:color w:val="000000"/>
                <w:sz w:val="18"/>
                <w:szCs w:val="18"/>
                <w:lang w:eastAsia="hr-HR"/>
              </w:rPr>
            </w:pPr>
            <w:r w:rsidRPr="00296FB6">
              <w:rPr>
                <w:rFonts w:hAnsi="Calibri" w:ascii="Calibri"/>
                <w:color w:val="000000"/>
                <w:sz w:val="18"/>
                <w:szCs w:val="18"/>
                <w:lang w:eastAsia="hr-HR"/>
              </w:rPr>
              <w:t>100.753,73</w:t>
            </w:r>
          </w:p>
        </w:tc>
      </w:tr>
      <w:tr w:rsidTr="008601E2" w:rsidR="006C02EF" w:rsidRPr="00296FB6">
        <w:trPr>
          <w:trHeight w:val="439"/>
        </w:trPr>
        <w:tc>
          <w:tcPr>
            <w:tcW w:type="dxa" w:w="7945"/>
            <w:gridSpan w:val="8"/>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6C02EF" w:rsidP="008601E2" w:rsidR="006C02EF" w:rsidRPr="00296FB6">
            <w:pPr>
              <w:jc w:val="right"/>
              <w:rPr>
                <w:rFonts w:hAnsi="Calibri" w:ascii="Calibri"/>
                <w:b/>
                <w:bCs/>
                <w:color w:val="000000"/>
                <w:sz w:val="18"/>
                <w:szCs w:val="18"/>
                <w:lang w:eastAsia="hr-HR"/>
              </w:rPr>
            </w:pPr>
            <w:r w:rsidRPr="00296FB6">
              <w:rPr>
                <w:rFonts w:hAnsi="Calibri" w:ascii="Calibri"/>
                <w:b/>
                <w:bCs/>
                <w:color w:val="000000"/>
                <w:sz w:val="18"/>
                <w:szCs w:val="18"/>
                <w:lang w:eastAsia="hr-HR"/>
              </w:rPr>
              <w:t>UKUPNO IMOVINA:</w:t>
            </w:r>
          </w:p>
        </w:tc>
        <w:tc>
          <w:tcPr>
            <w:tcW w:type="dxa" w:w="1377"/>
            <w:tcBorders>
              <w:top w:val="nil"/>
              <w:left w:val="nil"/>
              <w:bottom w:space="0" w:sz="4" w:color="auto" w:val="single"/>
              <w:right w:space="0" w:sz="4" w:color="auto" w:val="single"/>
            </w:tcBorders>
            <w:shd w:fill="D9D9D9" w:color="000000" w:val="clear"/>
            <w:noWrap/>
            <w:vAlign w:val="center"/>
            <w:hideMark/>
          </w:tcPr>
          <w:p w:rsidRDefault="006C02EF" w:rsidP="008601E2" w:rsidR="006C02EF" w:rsidRPr="00296FB6">
            <w:pPr>
              <w:jc w:val="right"/>
              <w:rPr>
                <w:rFonts w:hAnsi="Calibri" w:ascii="Calibri"/>
                <w:b/>
                <w:bCs/>
                <w:color w:val="000000"/>
                <w:sz w:val="18"/>
                <w:szCs w:val="18"/>
                <w:lang w:eastAsia="hr-HR"/>
              </w:rPr>
            </w:pPr>
            <w:r w:rsidRPr="00296FB6">
              <w:rPr>
                <w:rFonts w:hAnsi="Calibri" w:ascii="Calibri"/>
                <w:b/>
                <w:bCs/>
                <w:color w:val="000000"/>
                <w:sz w:val="18"/>
                <w:szCs w:val="18"/>
                <w:lang w:eastAsia="hr-HR"/>
              </w:rPr>
              <w:t>946.180,28</w:t>
            </w:r>
          </w:p>
        </w:tc>
      </w:tr>
      <w:tr w:rsidTr="008601E2" w:rsidR="006C02EF" w:rsidRPr="00296FB6">
        <w:trPr>
          <w:trHeight w:val="300"/>
        </w:trPr>
        <w:tc>
          <w:tcPr>
            <w:tcW w:type="dxa" w:w="1032"/>
            <w:tcBorders>
              <w:top w:val="nil"/>
              <w:left w:val="nil"/>
              <w:bottom w:val="nil"/>
              <w:right w:val="nil"/>
            </w:tcBorders>
            <w:shd w:fill="auto" w:color="auto" w:val="clear"/>
            <w:noWrap/>
            <w:vAlign w:val="bottom"/>
            <w:hideMark/>
          </w:tcPr>
          <w:p w:rsidRDefault="006C02EF" w:rsidP="008601E2" w:rsidR="006C02EF" w:rsidRPr="00296FB6">
            <w:pPr>
              <w:jc w:val="right"/>
              <w:rPr>
                <w:rFonts w:hAnsi="Calibri" w:ascii="Calibri"/>
                <w:b/>
                <w:bCs/>
                <w:color w:val="000000"/>
                <w:sz w:val="18"/>
                <w:szCs w:val="18"/>
                <w:lang w:eastAsia="hr-HR"/>
              </w:rPr>
            </w:pPr>
          </w:p>
        </w:tc>
        <w:tc>
          <w:tcPr>
            <w:tcW w:type="dxa" w:w="451"/>
            <w:tcBorders>
              <w:top w:val="nil"/>
              <w:left w:val="nil"/>
              <w:bottom w:val="nil"/>
              <w:right w:val="nil"/>
            </w:tcBorders>
            <w:shd w:fill="auto" w:color="auto" w:val="clear"/>
            <w:noWrap/>
            <w:vAlign w:val="bottom"/>
            <w:hideMark/>
          </w:tcPr>
          <w:p w:rsidRDefault="006C02EF" w:rsidP="008601E2" w:rsidR="006C02EF" w:rsidRPr="00296FB6">
            <w:pPr>
              <w:jc w:val="right"/>
              <w:rPr>
                <w:rFonts w:hAnsi="Calibri" w:ascii="Calibri"/>
                <w:b/>
                <w:bCs/>
                <w:color w:val="000000"/>
                <w:sz w:val="18"/>
                <w:szCs w:val="18"/>
                <w:lang w:eastAsia="hr-HR"/>
              </w:rPr>
            </w:pPr>
          </w:p>
        </w:tc>
        <w:tc>
          <w:tcPr>
            <w:tcW w:type="dxa" w:w="1569"/>
            <w:gridSpan w:val="2"/>
            <w:tcBorders>
              <w:top w:val="nil"/>
              <w:left w:val="nil"/>
              <w:bottom w:val="nil"/>
              <w:right w:val="nil"/>
            </w:tcBorders>
            <w:shd w:fill="auto" w:color="auto" w:val="clear"/>
            <w:noWrap/>
            <w:vAlign w:val="bottom"/>
            <w:hideMark/>
          </w:tcPr>
          <w:p w:rsidRDefault="006C02EF" w:rsidP="008601E2" w:rsidR="006C02EF" w:rsidRPr="00296FB6">
            <w:pPr>
              <w:jc w:val="right"/>
              <w:rPr>
                <w:rFonts w:hAnsi="Calibri" w:ascii="Calibri"/>
                <w:b/>
                <w:bCs/>
                <w:color w:val="000000"/>
                <w:sz w:val="18"/>
                <w:szCs w:val="18"/>
                <w:lang w:eastAsia="hr-HR"/>
              </w:rPr>
            </w:pPr>
          </w:p>
        </w:tc>
        <w:tc>
          <w:tcPr>
            <w:tcW w:type="dxa" w:w="2919"/>
            <w:gridSpan w:val="2"/>
            <w:tcBorders>
              <w:top w:val="nil"/>
              <w:left w:val="nil"/>
              <w:bottom w:val="nil"/>
              <w:right w:val="nil"/>
            </w:tcBorders>
            <w:shd w:fill="auto" w:color="auto" w:val="clear"/>
            <w:noWrap/>
            <w:vAlign w:val="bottom"/>
            <w:hideMark/>
          </w:tcPr>
          <w:p w:rsidRDefault="006C02EF" w:rsidP="008601E2" w:rsidR="006C02EF" w:rsidRPr="00296FB6">
            <w:pPr>
              <w:jc w:val="right"/>
              <w:rPr>
                <w:rFonts w:hAnsi="Calibri" w:ascii="Calibri"/>
                <w:b/>
                <w:bCs/>
                <w:color w:val="000000"/>
                <w:sz w:val="18"/>
                <w:szCs w:val="18"/>
                <w:lang w:eastAsia="hr-HR"/>
              </w:rPr>
            </w:pPr>
          </w:p>
        </w:tc>
        <w:tc>
          <w:tcPr>
            <w:tcW w:type="dxa" w:w="1974"/>
            <w:gridSpan w:val="2"/>
            <w:tcBorders>
              <w:top w:val="nil"/>
              <w:left w:val="nil"/>
              <w:bottom w:val="nil"/>
              <w:right w:val="nil"/>
            </w:tcBorders>
            <w:shd w:fill="auto" w:color="auto" w:val="clear"/>
            <w:noWrap/>
            <w:vAlign w:val="bottom"/>
            <w:hideMark/>
          </w:tcPr>
          <w:p w:rsidRDefault="006C02EF" w:rsidP="008601E2" w:rsidR="006C02EF" w:rsidRPr="00296FB6">
            <w:pPr>
              <w:jc w:val="right"/>
              <w:rPr>
                <w:rFonts w:hAnsi="Calibri" w:ascii="Calibri"/>
                <w:b/>
                <w:bCs/>
                <w:color w:val="000000"/>
                <w:sz w:val="18"/>
                <w:szCs w:val="18"/>
                <w:lang w:eastAsia="hr-HR"/>
              </w:rPr>
            </w:pPr>
          </w:p>
        </w:tc>
        <w:tc>
          <w:tcPr>
            <w:tcW w:type="dxa" w:w="1377"/>
            <w:tcBorders>
              <w:top w:val="nil"/>
              <w:left w:val="nil"/>
              <w:bottom w:val="nil"/>
              <w:right w:val="nil"/>
            </w:tcBorders>
            <w:shd w:fill="auto" w:color="auto" w:val="clear"/>
            <w:noWrap/>
            <w:vAlign w:val="bottom"/>
            <w:hideMark/>
          </w:tcPr>
          <w:p w:rsidRDefault="006C02EF" w:rsidP="008601E2" w:rsidR="006C02EF" w:rsidRPr="00296FB6">
            <w:pPr>
              <w:rPr>
                <w:rFonts w:hAnsi="Calibri" w:ascii="Calibri"/>
                <w:b/>
                <w:bCs/>
                <w:color w:val="000000"/>
                <w:sz w:val="18"/>
                <w:szCs w:val="18"/>
                <w:lang w:eastAsia="hr-HR"/>
              </w:rPr>
            </w:pPr>
          </w:p>
        </w:tc>
      </w:tr>
      <w:tr w:rsidTr="008601E2" w:rsidR="006C02EF" w:rsidRPr="00296FB6">
        <w:trPr>
          <w:gridAfter w:val="2"/>
          <w:wAfter w:type="dxa" w:w="2925"/>
          <w:trHeight w:val="300"/>
        </w:trPr>
        <w:tc>
          <w:tcPr>
            <w:tcW w:type="dxa" w:w="3046"/>
            <w:gridSpan w:val="3"/>
            <w:tcBorders>
              <w:top w:val="nil"/>
              <w:left w:val="nil"/>
              <w:bottom w:val="nil"/>
              <w:right w:val="nil"/>
            </w:tcBorders>
            <w:shd w:fill="auto" w:color="auto" w:val="clear"/>
            <w:noWrap/>
          </w:tcPr>
          <w:p w:rsidRDefault="006C02EF" w:rsidP="008601E2" w:rsidR="006C02EF" w:rsidRPr="00461217">
            <w:pPr>
              <w:rPr>
                <w:lang w:eastAsia="hr-HR"/>
              </w:rPr>
            </w:pPr>
          </w:p>
        </w:tc>
        <w:tc>
          <w:tcPr>
            <w:tcW w:type="dxa" w:w="1974"/>
            <w:gridSpan w:val="2"/>
            <w:tcBorders>
              <w:top w:val="nil"/>
              <w:left w:val="nil"/>
              <w:bottom w:val="nil"/>
              <w:right w:val="nil"/>
            </w:tcBorders>
            <w:shd w:fill="auto" w:color="auto" w:val="clear"/>
            <w:noWrap/>
            <w:vAlign w:val="bottom"/>
          </w:tcPr>
          <w:p w:rsidRDefault="006C02EF" w:rsidP="008601E2" w:rsidR="006C02EF" w:rsidRPr="00296FB6">
            <w:pPr>
              <w:jc w:val="right"/>
              <w:rPr>
                <w:rFonts w:hAnsi="Calibri" w:ascii="Calibri"/>
                <w:b/>
                <w:bCs/>
                <w:color w:val="000000"/>
                <w:sz w:val="18"/>
                <w:szCs w:val="18"/>
                <w:lang w:eastAsia="hr-HR"/>
              </w:rPr>
            </w:pPr>
          </w:p>
        </w:tc>
        <w:tc>
          <w:tcPr>
            <w:tcW w:type="dxa" w:w="1377"/>
            <w:gridSpan w:val="2"/>
            <w:tcBorders>
              <w:top w:val="nil"/>
              <w:left w:val="nil"/>
              <w:bottom w:val="nil"/>
              <w:right w:val="nil"/>
            </w:tcBorders>
            <w:shd w:fill="auto" w:color="auto" w:val="clear"/>
            <w:noWrap/>
            <w:vAlign w:val="bottom"/>
          </w:tcPr>
          <w:p w:rsidRDefault="006C02EF" w:rsidP="008601E2" w:rsidR="006C02EF" w:rsidRPr="00296FB6">
            <w:pPr>
              <w:rPr>
                <w:rFonts w:hAnsi="Calibri" w:ascii="Calibri"/>
                <w:b/>
                <w:bCs/>
                <w:color w:val="000000"/>
                <w:sz w:val="18"/>
                <w:szCs w:val="18"/>
                <w:lang w:eastAsia="hr-HR"/>
              </w:rPr>
            </w:pPr>
          </w:p>
        </w:tc>
      </w:tr>
      <w:tr w:rsidTr="008601E2" w:rsidR="006C02EF" w:rsidRPr="00296FB6">
        <w:trPr>
          <w:trHeight w:val="300"/>
        </w:trPr>
        <w:tc>
          <w:tcPr>
            <w:tcW w:type="dxa" w:w="1032"/>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c>
          <w:tcPr>
            <w:tcW w:type="dxa" w:w="451"/>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c>
          <w:tcPr>
            <w:tcW w:type="dxa" w:w="1569"/>
            <w:gridSpan w:val="2"/>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c>
          <w:tcPr>
            <w:tcW w:type="dxa" w:w="2919"/>
            <w:gridSpan w:val="2"/>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c>
          <w:tcPr>
            <w:tcW w:type="dxa" w:w="1974"/>
            <w:gridSpan w:val="2"/>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c>
          <w:tcPr>
            <w:tcW w:type="dxa" w:w="1377"/>
            <w:tcBorders>
              <w:top w:val="nil"/>
              <w:left w:val="nil"/>
              <w:bottom w:val="nil"/>
              <w:right w:val="nil"/>
            </w:tcBorders>
            <w:shd w:fill="auto" w:color="auto" w:val="clear"/>
            <w:noWrap/>
            <w:vAlign w:val="bottom"/>
            <w:hideMark/>
          </w:tcPr>
          <w:p w:rsidRDefault="006C02EF" w:rsidP="008601E2" w:rsidR="006C02EF" w:rsidRPr="00296FB6">
            <w:pPr>
              <w:rPr>
                <w:rFonts w:hAnsi="Calibri" w:ascii="Calibri"/>
                <w:color w:val="000000"/>
                <w:sz w:val="20"/>
                <w:lang w:eastAsia="hr-HR"/>
              </w:rPr>
            </w:pPr>
          </w:p>
        </w:tc>
      </w:tr>
    </w:tbl>
    <w:p w:rsidRDefault="007E657D" w:rsidP="007E657D" w:rsidR="006C02EF">
      <w:pPr>
        <w:ind w:firstLine="708"/>
        <w:jc w:val="both"/>
        <w:rPr>
          <w:rFonts w:hAnsi="Times New Roman" w:ascii="Times New Roman"/>
          <w:lang w:val="hr-HR"/>
        </w:rPr>
      </w:pPr>
      <w:r>
        <w:rPr>
          <w:rFonts w:hAnsi="Times New Roman" w:ascii="Times New Roman"/>
          <w:lang w:val="hr-HR"/>
        </w:rPr>
        <w:lastRenderedPageBreak/>
        <w:t>Stečajni upravitelj predlaže da se zbog male vrijednosti imovine stečajnog dužnika ovaj postupak obustavi i zaključi te da se nakon prodaje imovine isti nastavi za stečajnu masu, ukoliko budu ispunjene pretpostavke za naknadu diobu, a da se prilikom prodaje imovine navede da kupci uplaćuju kupovninu na račun suda, kako se ne bi trošili novci na vođenje računa kod banke i računovodstveni servis. Napominje također i da novčanih sredstava za vođenje ovog stečaja nema, te bi svakako bilo neophodno da se donese odluka o ovom prijedlogu, kao i o načinu unovčenja nekretnina s obzirom na njihovu starost.</w:t>
      </w:r>
    </w:p>
    <w:p w:rsidRDefault="007E657D" w:rsidP="007E657D" w:rsidR="007E657D">
      <w:pPr>
        <w:ind w:firstLine="708"/>
        <w:jc w:val="both"/>
        <w:rPr>
          <w:rFonts w:hAnsi="Times New Roman" w:ascii="Times New Roman"/>
          <w:lang w:val="hr-HR"/>
        </w:rPr>
      </w:pPr>
    </w:p>
    <w:p w:rsidRDefault="00005417" w:rsidP="007E657D" w:rsidR="007E657D">
      <w:pPr>
        <w:ind w:firstLine="708"/>
        <w:jc w:val="both"/>
        <w:rPr>
          <w:rFonts w:hAnsi="Times New Roman" w:ascii="Times New Roman"/>
          <w:lang w:val="hr-HR"/>
        </w:rPr>
      </w:pPr>
      <w:r>
        <w:rPr>
          <w:rFonts w:hAnsi="Times New Roman" w:ascii="Times New Roman"/>
          <w:lang w:val="hr-HR"/>
        </w:rPr>
        <w:t>Stečajni upravitelj predlaže da se od svake sljedeće dražbe cijena snizi za 20 %.</w:t>
      </w:r>
    </w:p>
    <w:p w:rsidRDefault="00005417" w:rsidP="007E657D" w:rsidR="00005417">
      <w:pPr>
        <w:ind w:firstLine="708"/>
        <w:jc w:val="both"/>
        <w:rPr>
          <w:rFonts w:hAnsi="Times New Roman" w:ascii="Times New Roman"/>
          <w:lang w:val="hr-HR"/>
        </w:rPr>
      </w:pPr>
    </w:p>
    <w:p w:rsidRDefault="00366543" w:rsidP="007E657D" w:rsidR="007E657D">
      <w:pPr>
        <w:ind w:firstLine="708"/>
        <w:jc w:val="both"/>
        <w:rPr>
          <w:rFonts w:hAnsi="Times New Roman" w:ascii="Times New Roman"/>
          <w:lang w:val="hr-HR"/>
        </w:rPr>
      </w:pPr>
      <w:r>
        <w:rPr>
          <w:rFonts w:hAnsi="Times New Roman" w:ascii="Times New Roman"/>
          <w:lang w:val="hr-HR"/>
        </w:rPr>
        <w:t>Zastupnica Republike Hrvatske predlaže da se pričeka određeni period sa zaključenjem ovog stečaja zbog toga što stečajni upravitelj treba još naplatiti određene tražbine pa bi oko toga moglo biti problema sa naplatom od dužnikovih dužnika, a s ovim prijedlogom suglasni su i ostali stečajni vjerovnici te stečajni upravitelj koji navodi da se sa obustavom i zaključenjem stečaja može pričekati 60 dana, a u kojem će roku on pokušati unovčiti i ostalu imovinu. Ukoliko se u roku od 60 dana ne uspije za stečajnu masu prihoditi iznos dostatan za podmirenje troškova, suglasni smo s time da se stečajni postupak obustavi i zaključi.</w:t>
      </w:r>
    </w:p>
    <w:p w:rsidRDefault="00366543" w:rsidP="007E657D" w:rsidR="00366543">
      <w:pPr>
        <w:ind w:firstLine="708"/>
        <w:jc w:val="both"/>
        <w:rPr>
          <w:rFonts w:hAnsi="Times New Roman" w:ascii="Times New Roman"/>
          <w:lang w:val="hr-HR"/>
        </w:rPr>
      </w:pPr>
    </w:p>
    <w:p w:rsidRDefault="00247726" w:rsidP="007E657D" w:rsidR="007E657D">
      <w:pPr>
        <w:ind w:firstLine="708"/>
        <w:jc w:val="both"/>
        <w:rPr>
          <w:rFonts w:hAnsi="Times New Roman" w:ascii="Times New Roman"/>
          <w:lang w:val="hr-HR"/>
        </w:rPr>
      </w:pPr>
      <w:r>
        <w:rPr>
          <w:rFonts w:hAnsi="Times New Roman" w:ascii="Times New Roman"/>
          <w:lang w:val="hr-HR"/>
        </w:rPr>
        <w:t>Stečajni upravitelj predlaže da mu se odobre troškovi za vođenje knjigovodstva u iznosu od 1.000,00 kn bruto s obzirom da je potrebno voditi knjigovodstvo bez obzira na otvaranje stečajnog postupka.</w:t>
      </w:r>
    </w:p>
    <w:p w:rsidRDefault="006C02EF" w:rsidP="007E657D" w:rsidR="006C02EF">
      <w:pPr>
        <w:jc w:val="both"/>
        <w:rPr>
          <w:rFonts w:hAnsi="Times New Roman" w:ascii="Times New Roman"/>
          <w:lang w:val="hr-HR"/>
        </w:rPr>
      </w:pPr>
    </w:p>
    <w:p w:rsidRDefault="00247726" w:rsidP="007E657D" w:rsidR="00247726">
      <w:pPr>
        <w:jc w:val="both"/>
        <w:rPr>
          <w:rFonts w:hAnsi="Times New Roman" w:ascii="Times New Roman"/>
          <w:lang w:val="hr-HR"/>
        </w:rPr>
      </w:pPr>
      <w:r>
        <w:rPr>
          <w:rFonts w:hAnsi="Times New Roman" w:ascii="Times New Roman"/>
          <w:lang w:val="hr-HR"/>
        </w:rPr>
        <w:tab/>
        <w:t>Skupština vjerovnika jednoglasno donosi sljedeće</w:t>
      </w:r>
    </w:p>
    <w:p w:rsidRDefault="00247726" w:rsidP="007E657D" w:rsidR="00247726">
      <w:pPr>
        <w:jc w:val="both"/>
        <w:rPr>
          <w:rFonts w:hAnsi="Times New Roman" w:ascii="Times New Roman"/>
          <w:lang w:val="hr-HR"/>
        </w:rPr>
      </w:pPr>
    </w:p>
    <w:p w:rsidRDefault="00247726" w:rsidP="007E657D" w:rsidR="00247726">
      <w:pPr>
        <w:jc w:val="both"/>
        <w:rPr>
          <w:rFonts w:hAnsi="Times New Roman" w:ascii="Times New Roman"/>
          <w:lang w:val="hr-HR"/>
        </w:rPr>
      </w:pPr>
    </w:p>
    <w:p w:rsidRDefault="00247726" w:rsidP="00247726" w:rsidR="00247726">
      <w:pPr>
        <w:jc w:val="center"/>
        <w:rPr>
          <w:rFonts w:hAnsi="Times New Roman" w:ascii="Times New Roman"/>
          <w:lang w:val="hr-HR"/>
        </w:rPr>
      </w:pPr>
      <w:r>
        <w:rPr>
          <w:rFonts w:hAnsi="Times New Roman" w:ascii="Times New Roman"/>
          <w:lang w:val="hr-HR"/>
        </w:rPr>
        <w:t>ODLUKE</w:t>
      </w:r>
    </w:p>
    <w:p w:rsidRDefault="00247726" w:rsidP="00247726" w:rsidR="00247726">
      <w:pPr>
        <w:jc w:val="center"/>
        <w:rPr>
          <w:rFonts w:hAnsi="Times New Roman" w:ascii="Times New Roman"/>
          <w:lang w:val="hr-HR"/>
        </w:rPr>
      </w:pPr>
    </w:p>
    <w:p w:rsidRDefault="00247726" w:rsidP="00247726" w:rsidR="00247726">
      <w:pPr>
        <w:jc w:val="center"/>
        <w:rPr>
          <w:rFonts w:hAnsi="Times New Roman" w:ascii="Times New Roman"/>
          <w:lang w:val="hr-HR"/>
        </w:rPr>
      </w:pPr>
    </w:p>
    <w:p w:rsidRDefault="00247726" w:rsidP="0068562E" w:rsidR="00247726">
      <w:pPr>
        <w:pStyle w:val="Odlomakpopisa"/>
        <w:numPr>
          <w:ilvl w:val="0"/>
          <w:numId w:val="4"/>
        </w:numPr>
        <w:jc w:val="both"/>
        <w:rPr>
          <w:rFonts w:hAnsi="Times New Roman" w:ascii="Times New Roman"/>
          <w:lang w:val="hr-HR"/>
        </w:rPr>
      </w:pPr>
      <w:r>
        <w:rPr>
          <w:rFonts w:hAnsi="Times New Roman" w:ascii="Times New Roman"/>
          <w:lang w:val="hr-HR"/>
        </w:rPr>
        <w:t>Prihvaća se izvješće stečajnog</w:t>
      </w:r>
      <w:r w:rsidR="0068562E">
        <w:rPr>
          <w:rFonts w:hAnsi="Times New Roman" w:ascii="Times New Roman"/>
          <w:lang w:val="hr-HR"/>
        </w:rPr>
        <w:t xml:space="preserve"> upravitelja.</w:t>
      </w:r>
    </w:p>
    <w:p w:rsidRDefault="0068562E" w:rsidP="0068562E" w:rsidR="00247726">
      <w:pPr>
        <w:pStyle w:val="Odlomakpopisa"/>
        <w:numPr>
          <w:ilvl w:val="0"/>
          <w:numId w:val="4"/>
        </w:numPr>
        <w:jc w:val="both"/>
        <w:rPr>
          <w:rFonts w:hAnsi="Times New Roman" w:ascii="Times New Roman"/>
          <w:lang w:val="hr-HR"/>
        </w:rPr>
      </w:pPr>
      <w:r>
        <w:rPr>
          <w:rFonts w:hAnsi="Times New Roman" w:ascii="Times New Roman"/>
          <w:lang w:val="hr-HR"/>
        </w:rPr>
        <w:t>Ovlašćuje se stečajni upravitelj da u roku od 60 dana od dana održavanja ovog izvještajnog ročišta pokuša naplatiti tražbine od dužnikovih dužnika te unovčiti pokretnu imovinu uz umanjenje cijene za svaku sljedeću dražbu od 20 %.</w:t>
      </w:r>
    </w:p>
    <w:p w:rsidRDefault="0068562E" w:rsidP="0068562E" w:rsidR="0068562E">
      <w:pPr>
        <w:pStyle w:val="Odlomakpopisa"/>
        <w:numPr>
          <w:ilvl w:val="0"/>
          <w:numId w:val="4"/>
        </w:numPr>
        <w:jc w:val="both"/>
        <w:rPr>
          <w:rFonts w:hAnsi="Times New Roman" w:ascii="Times New Roman"/>
          <w:lang w:val="hr-HR"/>
        </w:rPr>
      </w:pPr>
      <w:r>
        <w:rPr>
          <w:rFonts w:hAnsi="Times New Roman" w:ascii="Times New Roman"/>
          <w:lang w:val="hr-HR"/>
        </w:rPr>
        <w:t>Odobrava se stečajnom upravitelju da za troškove vođenja računovodstvenih poslova stečajnog dužnika ugovori naknadu od 1.000,00 kn bruto.</w:t>
      </w:r>
    </w:p>
    <w:p w:rsidRDefault="0068562E" w:rsidP="0068562E" w:rsidR="0068562E">
      <w:pPr>
        <w:pStyle w:val="Odlomakpopisa"/>
        <w:numPr>
          <w:ilvl w:val="0"/>
          <w:numId w:val="4"/>
        </w:numPr>
        <w:jc w:val="both"/>
        <w:rPr>
          <w:rFonts w:hAnsi="Times New Roman" w:ascii="Times New Roman"/>
          <w:lang w:val="hr-HR"/>
        </w:rPr>
      </w:pPr>
      <w:r>
        <w:rPr>
          <w:rFonts w:hAnsi="Times New Roman" w:ascii="Times New Roman"/>
          <w:lang w:val="hr-HR"/>
        </w:rPr>
        <w:t>Suglasni smo sa time da ukoliko se u roku od 60 dana ne uspiju prihodovati novčana sredstva za namirenje troškova postupka, da sud donese rješenje o obustavi i zaključenju stečajnog postupka.</w:t>
      </w:r>
    </w:p>
    <w:p w:rsidRDefault="0068562E" w:rsidP="0068562E" w:rsidR="0068562E">
      <w:pPr>
        <w:jc w:val="both"/>
        <w:rPr>
          <w:rFonts w:hAnsi="Times New Roman" w:ascii="Times New Roman"/>
          <w:lang w:val="hr-HR"/>
        </w:rPr>
      </w:pPr>
    </w:p>
    <w:p w:rsidRDefault="0068562E" w:rsidP="0068562E" w:rsidR="0068562E">
      <w:pPr>
        <w:jc w:val="both"/>
        <w:rPr>
          <w:rFonts w:hAnsi="Times New Roman" w:ascii="Times New Roman"/>
          <w:lang w:val="hr-HR"/>
        </w:rPr>
      </w:pPr>
    </w:p>
    <w:p w:rsidRDefault="0068562E" w:rsidP="0068562E" w:rsidR="0068562E" w:rsidRPr="0068562E">
      <w:pPr>
        <w:jc w:val="center"/>
        <w:rPr>
          <w:rFonts w:hAnsi="Times New Roman" w:ascii="Times New Roman"/>
          <w:lang w:val="hr-HR"/>
        </w:rPr>
      </w:pPr>
      <w:r>
        <w:rPr>
          <w:rFonts w:hAnsi="Times New Roman" w:ascii="Times New Roman"/>
          <w:lang w:val="hr-HR"/>
        </w:rPr>
        <w:t>Dovršeno u 13,25 sati.</w:t>
      </w:r>
    </w:p>
    <w:sectPr w:rsidSect="006C02EF" w:rsidR="0068562E" w:rsidRPr="0068562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871" w:rsidP="006C02EF" w:rsidR="00F77871">
      <w:r>
        <w:separator/>
      </w:r>
    </w:p>
  </w:endnote>
  <w:endnote w:id="0" w:type="continuationSeparator">
    <w:p w:rsidRDefault="00F77871" w:rsidP="006C02EF" w:rsidR="00F778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871" w:rsidP="006C02EF" w:rsidR="00F77871">
      <w:r>
        <w:separator/>
      </w:r>
    </w:p>
  </w:footnote>
  <w:footnote w:id="0" w:type="continuationSeparator">
    <w:p w:rsidRDefault="00F77871" w:rsidP="006C02EF" w:rsidR="00F778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F5339" w:rsidRPr="00EF5339">
          <w:rPr>
            <w:rFonts w:hAnsi="Times New Roman" w:ascii="Times New Roman"/>
            <w:noProof/>
            <w:lang w:val="hr-HR"/>
          </w:rPr>
          <w:t>5</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St-852/16-</w:t>
    </w:r>
    <w:r w:rsidR="00005417">
      <w:rPr>
        <w:rFonts w:hAnsi="Times New Roman" w:ascii="Times New Roman"/>
        <w:lang w:val="hr-HR"/>
      </w:rPr>
      <w:t>15</w:t>
    </w:r>
  </w:p>
  <w:p w:rsidRDefault="006C02EF" w:rsidR="006C02EF">
    <w:pPr>
      <w:pStyle w:val="Zaglavlje"/>
      <w:rPr>
        <w:rFonts w:hAnsi="Times New Roman" w:ascii="Times New Roman"/>
        <w:lang w:val="hr-HR"/>
      </w:rPr>
    </w:pP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St-852/16-</w:t>
    </w:r>
    <w:r w:rsidR="00005417">
      <w:rPr>
        <w:rFonts w:hAnsi="Times New Roman" w:ascii="Times New Roman"/>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247726"/>
    <w:rsid w:val="00366543"/>
    <w:rsid w:val="0068562E"/>
    <w:rsid w:val="006C02EF"/>
    <w:rsid w:val="007E657D"/>
    <w:rsid w:val="00826138"/>
    <w:rsid w:val="00954519"/>
    <w:rsid w:val="00D37C4D"/>
    <w:rsid w:val="00EF5339"/>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Tekstrezerviranogmjesta" w:type="character">
    <w:name w:val="Placeholder Text"/>
    <w:basedOn w:val="Zadanifontodlomka"/>
    <w:uiPriority w:val="99"/>
    <w:semiHidden/>
    <w:rsid w:val="00EF5339"/>
    <w:rPr>
      <w:color w:val="808080"/>
      <w:bdr w:space="0" w:sz="0" w:color="auto" w:val="none"/>
      <w:shd w:fill="auto" w:color="auto" w:val="clear"/>
    </w:rPr>
  </w:style>
  <w:style w:customStyle="true" w:styleId="eSPISCCParagraphDefaultFont" w:type="character">
    <w:name w:val="eSPIS_CC_Paragraph Default Font"/>
    <w:basedOn w:val="Zadanifontodlomka"/>
    <w:rsid w:val="00EF53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53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53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53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Tekstrezerviranogmjesta" w:type="character">
    <w:name w:val="Placeholder Text"/>
    <w:basedOn w:val="Zadanifontodlomka"/>
    <w:uiPriority w:val="99"/>
    <w:semiHidden/>
    <w:rsid w:val="00EF5339"/>
    <w:rPr>
      <w:color w:val="808080"/>
      <w:bdr w:color="auto" w:space="0" w:sz="0" w:val="none"/>
      <w:shd w:color="auto" w:fill="auto" w:val="clear"/>
    </w:rPr>
  </w:style>
  <w:style w:customStyle="1" w:styleId="eSPISCCParagraphDefaultFont" w:type="character">
    <w:name w:val="eSPIS_CC_Paragraph Default Font"/>
    <w:basedOn w:val="Zadanifontodlomka"/>
    <w:rsid w:val="00EF53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53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53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53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siječnja 2017.</izvorni_sadrzaj>
    <derivirana_varijabla naziv="DomainObject.StvarniPocetakDatum_1">4. siječnja 2017.</derivirana_varijabla>
  </DomainObject.StvarniPocetakDatum>
  <DomainObject.StvarniZavrsetakDatum>
    <izvorni_sadrzaj>4. siječnja 2017.</izvorni_sadrzaj>
    <derivirana_varijabla naziv="DomainObject.StvarniZavrsetakDatum_1">4. siječnja 2017.</derivirana_varijabla>
  </DomainObject.StvarniZavrsetakDatum>
  <DomainObject.PlaniraniZavrsetakDatum>
    <izvorni_sadrzaj>4. siječnja 2017.</izvorni_sadrzaj>
    <derivirana_varijabla naziv="DomainObject.PlaniraniZavrsetakDatum_1">4. siječnja 2017.</derivirana_varijabla>
  </DomainObject.PlaniraniZavrsetakDatum>
  <DomainObject.PlaniraniPocetakDatum>
    <izvorni_sadrzaj>4. siječnja 2017.</izvorni_sadrzaj>
    <derivirana_varijabla naziv="DomainObject.PlaniraniPocetakDatum_1">4. siječnja 2017.</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N.T.L. društvo s ograničenom odgovornošću za proizvodnju, trgovinu i usluge u stečaju</izvorni_sadrzaj>
    <derivirana_varijabla naziv="DomainObject.Predmet.ProtustrankaFormated_1">  N.T.L. društvo s ograničenom odgovornošću za proizvodnju, trgovinu i usluge u stečaju</derivirana_varijabla>
  </DomainObject.Predmet.ProtustrankaFormated>
  <DomainObject.Predmet.ProtustrankaFormatedOIB>
    <izvorni_sadrzaj>  N.T.L. društvo s ograničenom odgovornošću za proizvodnju, trgovinu i usluge u stečaju, OIB 69837829454</izvorni_sadrzaj>
    <derivirana_varijabla naziv="DomainObject.Predmet.ProtustrankaFormatedOIB_1">  N.T.L. društvo s ograničenom odgovornošću za proizvodnju, trgovinu i usluge u stečaju, OIB 69837829454</derivirana_varijabla>
  </DomainObject.Predmet.ProtustrankaFormatedOIB>
  <DomainObject.Predmet.ProtustrankaFormatedWithAdress>
    <izvorni_sadrzaj> N.T.L. društvo s ograničenom odgovornošću za proizvodnju, trgovinu i usluge u stečaju, Putjane 77, 40000 Čakovec</izvorni_sadrzaj>
    <derivirana_varijabla naziv="DomainObject.Predmet.ProtustrankaFormatedWithAdress_1"> N.T.L. društvo s ograničenom odgovornošću za proizvodnju, trgovinu i usluge u stečaju, Putjane 77, 40000 Čakovec</derivirana_varijabla>
  </DomainObject.Predmet.ProtustrankaFormatedWithAdress>
  <DomainObject.Predmet.ProtustrankaFormatedWithAdressOIB>
    <izvorni_sadrzaj> N.T.L. društvo s ograničenom odgovornošću za proizvodnju, trgovinu i usluge u stečaju, OIB 69837829454, Putjane 77, 40000 Čakovec</izvorni_sadrzaj>
    <derivirana_varijabla naziv="DomainObject.Predmet.ProtustrankaFormatedWithAdressOIB_1"> N.T.L. društvo s ograničenom odgovornošću za proizvodnju, trgovinu i usluge u stečaju, OIB 69837829454, Putjane 77, 40000 Čakovec</derivirana_varijabla>
  </DomainObject.Predmet.ProtustrankaFormatedWithAdressOIB>
  <DomainObject.Predmet.ProtustrankaWithAdress>
    <izvorni_sadrzaj>N.T.L. društvo s ograničenom odgovornošću za proizvodnju, trgovinu i usluge u stečaju Putjane 77, 40000 Čakovec</izvorni_sadrzaj>
    <derivirana_varijabla naziv="DomainObject.Predmet.ProtustrankaWithAdress_1">N.T.L. društvo s ograničenom odgovornošću za proizvodnju, trgovinu i usluge u stečaju Putjane 77, 40000 Čakovec</derivirana_varijabla>
  </DomainObject.Predmet.ProtustrankaWithAdress>
  <DomainObject.Predmet.ProtustrankaWithAdressOIB>
    <izvorni_sadrzaj>N.T.L. društvo s ograničenom odgovornošću za proizvodnju, trgovinu i usluge u stečaju, OIB 69837829454, Putjane 77, 40000 Čakovec</izvorni_sadrzaj>
    <derivirana_varijabla naziv="DomainObject.Predmet.ProtustrankaWithAdressOIB_1">N.T.L. društvo s ograničenom odgovornošću za proizvodnju, trgovinu i usluge u stečaju, OIB 69837829454, Putjane 77, 40000 Čakovec</derivirana_varijabla>
  </DomainObject.Predmet.ProtustrankaWithAdressOIB>
  <DomainObject.Predmet.ProtustrankaNazivFormated>
    <izvorni_sadrzaj>N.T.L. društvo s ograničenom odgovornošću za proizvodnju, trgovinu i usluge u stečaju</izvorni_sadrzaj>
    <derivirana_varijabla naziv="DomainObject.Predmet.ProtustrankaNazivFormated_1">N.T.L. društvo s ograničenom odgovornošću za proizvodnju, trgovinu i usluge u stečaju</derivirana_varijabla>
  </DomainObject.Predmet.ProtustrankaNazivFormated>
  <DomainObject.Predmet.ProtustrankaNazivFormatedOIB>
    <izvorni_sadrzaj>N.T.L. društvo s ograničenom odgovornošću za proizvodnju, trgovinu i usluge u stečaju, OIB 69837829454</izvorni_sadrzaj>
    <derivirana_varijabla naziv="DomainObject.Predmet.ProtustrankaNazivFormatedOIB_1">N.T.L. društvo s ograničenom odgovornošću za proizvodnju, trgovinu i usluge u stečaju, OIB 69837829454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724843.49</izvorni_sadrzaj>
    <derivirana_varijabla naziv="DomainObject.Predmet.TrenutnaVrijednost_1">724843.49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N.T.L. društvo s ograničenom odgovornošću za proizvodnju, trgovinu i usluge u stečaju</item>
    </izvorni_sadrzaj>
    <derivirana_varijabla naziv="DomainObject.Predmet.ProtuStrankaListFormated_1">
      <item>N.T.L. društvo s ograničenom odgovornošću za proizvodnju, trgovinu i usluge u stečaju</item>
    </derivirana_varijabla>
  </DomainObject.Predmet.ProtuStrankaListFormated>
  <DomainObject.Predmet.ProtuStrankaListFormatedOIB>
    <izvorni_sadrzaj>
      <item>N.T.L. društvo s ograničenom odgovornošću za proizvodnju, trgovinu i usluge u stečaju, OIB 69837829454</item>
    </izvorni_sadrzaj>
    <derivirana_varijabla naziv="DomainObject.Predmet.ProtuStrankaListFormatedOIB_1">
      <item>N.T.L. društvo s ograničenom odgovornošću za proizvodnju, trgovinu i usluge u stečaju, OIB 69837829454</item>
    </derivirana_varijabla>
  </DomainObject.Predmet.ProtuStrankaListFormatedOIB>
  <DomainObject.Predmet.ProtuStrankaListFormatedWithAdress>
    <izvorni_sadrzaj>
      <item>N.T.L. društvo s ograničenom odgovornošću za proizvodnju, trgovinu i usluge u stečaju, Putjane 77, 40000 Čakovec</item>
    </izvorni_sadrzaj>
    <derivirana_varijabla naziv="DomainObject.Predmet.ProtuStrankaListFormatedWithAdress_1">
      <item>N.T.L. društvo s ograničenom odgovornošću za proizvodnju, trgovinu i usluge u stečaju, Putjane 77, 40000 Čakovec</item>
    </derivirana_varijabla>
  </DomainObject.Predmet.ProtuStrankaListFormatedWithAdress>
  <DomainObject.Predmet.ProtuStrankaListFormatedWithAdressOIB>
    <izvorni_sadrzaj>
      <item>N.T.L. društvo s ograničenom odgovornošću za proizvodnju, trgovinu i usluge u stečaju, OIB 69837829454, Putjane 77, 40000 Čakovec</item>
    </izvorni_sadrzaj>
    <derivirana_varijabla naziv="DomainObject.Predmet.ProtuStrankaListFormatedWithAdressOIB_1">
      <item>N.T.L. društvo s ograničenom odgovornošću za proizvodnju, trgovinu i usluge u stečaju, OIB 69837829454, Putjane 77, 40000 Čakovec</item>
    </derivirana_varijabla>
  </DomainObject.Predmet.ProtuStrankaListFormatedWithAdressOIB>
  <DomainObject.Predmet.ProtuStrankaListNazivFormated>
    <izvorni_sadrzaj>
      <item>N.T.L. društvo s ograničenom odgovornošću za proizvodnju, trgovinu i usluge u stečaju</item>
    </izvorni_sadrzaj>
    <derivirana_varijabla naziv="DomainObject.Predmet.ProtuStrankaListNazivFormated_1">
      <item>N.T.L. društvo s ograničenom odgovornošću za proizvodnju, trgovinu i usluge u stečaju</item>
    </derivirana_varijabla>
  </DomainObject.Predmet.ProtuStrankaListNazivFormated>
  <DomainObject.Predmet.ProtuStrankaListNazivFormatedOIB>
    <izvorni_sadrzaj>
      <item>N.T.L. društvo s ograničenom odgovornošću za proizvodnju, trgovinu i usluge u stečaju, OIB 69837829454</item>
    </izvorni_sadrzaj>
    <derivirana_varijabla naziv="DomainObject.Predmet.ProtuStrankaListNazivFormatedOIB_1">
      <item>N.T.L. društvo s ograničenom odgovornošću za proizvodnju, trgovinu i usluge u stečaju, OIB 69837829454</item>
    </derivirana_varijabla>
  </DomainObject.Predmet.ProtuStrankaListNazivFormatedOIB>
  <DomainObject.Predmet.OstaliListFormated>
    <izvorni_sadrzaj>
      <item>sudski registar</item>
      <item>Dejan Hozmec</item>
      <item>Županijsko državno odvjetništvo</item>
      <item>Dragutin Romić</item>
    </izvorni_sadrzaj>
    <derivirana_varijabla naziv="DomainObject.Predmet.OstaliListFormated_1">
      <item>sudski registar</item>
      <item>Dejan Hozmec</item>
      <item>Županijsko državno odvjetništvo</item>
      <item>Dragutin Romić</item>
    </derivirana_varijabla>
  </DomainObject.Predmet.OstaliListFormated>
  <DomainObject.Predmet.OstaliListFormatedOIB>
    <izvorni_sadrzaj>
      <item>sudski registar</item>
      <item>Dejan Hozmec, OIB 66411520716</item>
      <item>Županijsko državno odvjetništvo</item>
      <item>Dragutin Romić, OIB 07423571519</item>
    </izvorni_sadrzaj>
    <derivirana_varijabla naziv="DomainObject.Predmet.OstaliListFormatedOIB_1">
      <item>sudski registar</item>
      <item>Dejan Hozmec, OIB 66411520716</item>
      <item>Županijsko državno odvjetništvo</item>
      <item>Dragutin Romić, OIB 07423571519</item>
    </derivirana_varijabla>
  </DomainObject.Predmet.OstaliListFormatedOIB>
  <DomainObject.Predmet.OstaliListFormatedWithAdress>
    <izvorni_sadrzaj>
      <item>sudski registar</item>
      <item>Dejan Hozmec, Poljska 75, 40000 Strahoninec</item>
      <item>Županijsko državno odvjetništvo</item>
      <item>Dragutin Romić, Ulica Papuka 28, 31431 Čepin</item>
    </izvorni_sadrzaj>
    <derivirana_varijabla naziv="DomainObject.Predmet.OstaliListFormatedWithAdress_1">
      <item>sudski registar</item>
      <item>Dejan Hozmec, Poljska 75, 40000 Strahoninec</item>
      <item>Županijsko državno odvjetništvo</item>
      <item>Dragutin Romić, Ulica Papuka 28, 31431 Čepin</item>
    </derivirana_varijabla>
  </DomainObject.Predmet.OstaliListFormatedWithAdress>
  <DomainObject.Predmet.OstaliListFormatedWithAdressOIB>
    <izvorni_sadrzaj>
      <item>sudski registar</item>
      <item>Dejan Hozmec, OIB 66411520716, Poljska 75, 40000 Strahoninec</item>
      <item>Županijsko državno odvjetništvo</item>
      <item>Dragutin Romić, OIB 07423571519, Ulica Papuka 28, 31431 Čepin</item>
    </izvorni_sadrzaj>
    <derivirana_varijabla naziv="DomainObject.Predmet.OstaliListFormatedWithAdressOIB_1">
      <item>sudski registar</item>
      <item>Dejan Hozmec, OIB 66411520716, Poljska 75, 40000 Strahoninec</item>
      <item>Županijsko državno odvjetništvo</item>
      <item>Dragutin Romić, OIB 07423571519, Ulica Papuka 28, 31431 Čepin</item>
    </derivirana_varijabla>
  </DomainObject.Predmet.OstaliListFormatedWithAdressOIB>
  <DomainObject.Predmet.OstaliListNazivFormated>
    <izvorni_sadrzaj>
      <item>sudski registar</item>
      <item>Dejan Hozmec</item>
      <item>Županijsko državno odvjetništvo</item>
      <item>Dragutin Romić</item>
    </izvorni_sadrzaj>
    <derivirana_varijabla naziv="DomainObject.Predmet.OstaliListNazivFormated_1">
      <item>sudski registar</item>
      <item>Dejan Hozmec</item>
      <item>Županijsko državno odvjetništvo</item>
      <item>Dragutin Romić</item>
    </derivirana_varijabla>
  </DomainObject.Predmet.OstaliListNazivFormated>
  <DomainObject.Predmet.OstaliListNazivFormatedOIB>
    <izvorni_sadrzaj>
      <item>sudski registar</item>
      <item>Dejan Hozmec, OIB 66411520716</item>
      <item>Županijsko državno odvjetništvo</item>
      <item>Dragutin Romić, OIB 07423571519</item>
    </izvorni_sadrzaj>
    <derivirana_varijabla naziv="DomainObject.Predmet.OstaliListNazivFormatedOIB_1">
      <item>sudski registar</item>
      <item>Dejan Hozmec, OIB 66411520716</item>
      <item>Županijsko državno odvjetništvo</item>
      <item>Dragutin Romić, OIB 07423571519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N.T.L. društvo s ograničenom odgovornošću za proizvodnju, trgovinu i usluge u stečaju</izvorni_sadrzaj>
    <derivirana_varijabla naziv="DomainObject.Predmet.ProtustrankaIDrugi_1">N.T.L. društvo s ograničenom odgovornošću za proizvodnju, trgovinu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N.T.L. društvo s ograničenom odgovornošću za proizvodnju, trgovinu i usluge u stečaju, OIB 69837829454, Putjane 77, 40000 Čakovec</izvorni_sadrzaj>
    <derivirana_varijabla naziv="DomainObject.Predmet.ProtustrankaIDrugiAdressOIB_1">N.T.L. društvo s ograničenom odgovornošću za proizvodnju, trgovinu i usluge u stečaju, OIB 69837829454, Putjane 77,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N.T.L. društvo s ograničenom odgovornošću za proizvodnju, trgovinu i usluge u stečaju</item>
      <item>sudski registar</item>
      <item>Dejan Hozmec</item>
      <item>Županijsko državno odvjetništvo</item>
      <item>Dragutin Romić</item>
    </izvorni_sadrzaj>
    <derivirana_varijabla naziv="DomainObject.Predmet.SudioniciListNaziv_1">
      <item>Financijska agencija</item>
      <item>N.T.L. društvo s ograničenom odgovornošću za proizvodnju, trgovinu i usluge u stečaju</item>
      <item>sudski registar</item>
      <item>Dejan Hozmec</item>
      <item>Županijsko državno odvjetništvo</item>
      <item>Dragutin Romić</item>
    </derivirana_varijabla>
  </DomainObject.Predmet.SudioniciListNaziv>
  <DomainObject.Predmet.SudioniciListAdressOIB>
    <izvorni_sadrzaj>
      <item>Financijska agencija, OIB 85821130368</item>
      <item>N.T.L. društvo s ograničenom odgovornošću za proizvodnju, trgovinu i usluge u stečaju, OIB 69837829454, Putjane 77,40000 Čakovec</item>
      <item>sudski registar</item>
      <item>Dejan Hozmec, OIB 66411520716, Poljska 75,40000 Strahoninec</item>
      <item>Županijsko državno odvjetništvo</item>
      <item>Dragutin Romić, OIB 07423571519, Ulica Papuka 28,31431 Čepin</item>
    </izvorni_sadrzaj>
    <derivirana_varijabla naziv="DomainObject.Predmet.SudioniciListAdressOIB_1">
      <item>Financijska agencija, OIB 85821130368</item>
      <item>N.T.L. društvo s ograničenom odgovornošću za proizvodnju, trgovinu i usluge u stečaju, OIB 69837829454, Putjane 77,40000 Čakovec</item>
      <item>sudski registar</item>
      <item>Dejan Hozmec, OIB 66411520716, Poljska 75,40000 Strahoninec</item>
      <item>Županijsko državno odvjetništvo</item>
      <item>Dragutin Romić, OIB 07423571519, Ulica Papuka 28,31431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69837829454</item>
      <item>, OIB null</item>
      <item>, OIB 66411520716</item>
      <item>, OIB null</item>
      <item>, OIB 07423571519</item>
    </izvorni_sadrzaj>
    <derivirana_varijabla naziv="DomainObject.Predmet.SudioniciListNazivOIB_1">
      <item>, OIB 85821130368</item>
      <item>, OIB 69837829454</item>
      <item>, OIB null</item>
      <item>, OIB 66411520716</item>
      <item>, OIB null</item>
      <item>, OIB 07423571519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1399</properties:Words>
  <properties:Characters>8431</properties:Characters>
  <properties:Lines>348</properties:Lines>
  <properties:Paragraphs>164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2017-01-04T12:24:00Z</cp:lastPrinted>
  <dcterms:modified xmlns:xsi="http://www.w3.org/2001/XMLSchema-instance" xsi:type="dcterms:W3CDTF">2017-01-04T12:41:00Z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