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73de" w14:paraId="71b73de" w:rsidRDefault="00625EA3" w:rsidP="00625EA3" w:rsidR="00625EA3" w:rsidRPr="00625EA3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</w:pPr>
      <w:bookmarkStart w:name="_GoBack" w:id="0"/>
      <w:bookmarkEnd w:id="0"/>
      <w:r w:rsidRPr="00625EA3">
        <w:rPr>
          <w:rFonts w:cs="Tahoma" w:eastAsia="SimSun" w:hAnsi="Tahoma" w:ascii="Tahoma"/>
          <w:b/>
          <w:kern w:val="3"/>
          <w:sz w:val="24"/>
          <w:szCs w:val="24"/>
          <w:lang w:bidi="hi-IN" w:eastAsia="zh-CN"/>
        </w:rPr>
        <w:t>STANKO MAKAR, A.Šenoe 6, Sigetec Ludbreški</w:t>
      </w:r>
    </w:p>
    <w:p w:rsidRDefault="00625EA3" w:rsidP="00625EA3" w:rsidR="00625EA3" w:rsidRPr="00625EA3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i/>
          <w:kern w:val="3"/>
          <w:lang w:bidi="hi-IN" w:eastAsia="zh-CN"/>
        </w:rPr>
      </w:pPr>
      <w:r w:rsidRPr="00625EA3">
        <w:rPr>
          <w:rFonts w:cs="Tahoma" w:eastAsia="SimSun" w:hAnsi="Tahoma" w:ascii="Tahoma"/>
          <w:kern w:val="3"/>
          <w:lang w:bidi="hi-IN" w:eastAsia="zh-CN"/>
        </w:rPr>
        <w:t xml:space="preserve">Stečajni upravitelj nad dužnikom </w:t>
      </w:r>
      <w:r w:rsidRPr="00D617F4">
        <w:rPr>
          <w:rFonts w:cs="Tahoma" w:eastAsia="SimSun" w:hAnsi="Tahoma" w:ascii="Tahoma"/>
          <w:kern w:val="3"/>
          <w:lang w:bidi="hi-IN" w:eastAsia="zh-CN"/>
        </w:rPr>
        <w:t>TVORNICA STOČNE HRANE d.o.o. u stečaju</w:t>
      </w:r>
    </w:p>
    <w:p w:rsidRDefault="00625EA3" w:rsidP="00625EA3" w:rsidR="00625EA3" w:rsidRPr="00625EA3">
      <w:pPr>
        <w:pBdr>
          <w:bottom w:space="1" w:sz="4" w:color="auto" w:val="single"/>
        </w:pBdr>
        <w:spacing w:lineRule="auto" w:line="288" w:after="0"/>
        <w:jc w:val="center"/>
        <w:rPr>
          <w:rFonts w:cs="Tahoma" w:eastAsia="SimSun" w:hAnsi="Tahoma" w:ascii="Tahoma"/>
          <w:kern w:val="3"/>
          <w:lang w:bidi="hi-IN" w:eastAsia="zh-CN"/>
        </w:rPr>
      </w:pPr>
      <w:r w:rsidRPr="00625EA3">
        <w:rPr>
          <w:rFonts w:cs="Tahoma" w:eastAsia="SimSun" w:hAnsi="Tahoma" w:ascii="Tahoma"/>
          <w:kern w:val="3"/>
          <w:lang w:bidi="hi-IN" w:eastAsia="zh-CN"/>
        </w:rPr>
        <w:t>Kolodvorska 14, Koprivnica, OIB: 76325867397, St-</w:t>
      </w:r>
      <w:r>
        <w:rPr>
          <w:rFonts w:cs="Tahoma" w:eastAsia="SimSun" w:hAnsi="Tahoma" w:ascii="Tahoma"/>
          <w:kern w:val="3"/>
          <w:lang w:bidi="hi-IN" w:eastAsia="zh-CN"/>
        </w:rPr>
        <w:t>91/15</w:t>
      </w:r>
    </w:p>
    <w:p w:rsidRDefault="00193C39" w:rsidP="00193C39" w:rsidR="00193C39">
      <w:pPr>
        <w:jc w:val="center"/>
        <w:rPr>
          <w:rFonts w:cs="Tahoma" w:hAnsi="Tahoma" w:ascii="Tahoma"/>
          <w:b/>
        </w:rPr>
      </w:pPr>
    </w:p>
    <w:p w:rsidRDefault="00625EA3" w:rsidP="00625EA3" w:rsidR="00625EA3" w:rsidRPr="0006486C">
      <w:pPr>
        <w:jc w:val="both"/>
        <w:rPr>
          <w:rFonts w:cs="Tahoma" w:hAnsi="Tahoma" w:ascii="Tahoma"/>
          <w:b/>
        </w:rPr>
      </w:pPr>
      <w:r w:rsidRPr="0006486C">
        <w:rPr>
          <w:rFonts w:cs="Tahoma" w:hAnsi="Tahoma" w:ascii="Tahoma"/>
          <w:lang w:val="pl-PL"/>
        </w:rPr>
        <w:t>Nadle</w:t>
      </w:r>
      <w:r w:rsidRPr="0006486C">
        <w:rPr>
          <w:rFonts w:cs="Tahoma" w:hAnsi="Tahoma" w:ascii="Tahoma"/>
        </w:rPr>
        <w:t>ž</w:t>
      </w:r>
      <w:r w:rsidRPr="0006486C">
        <w:rPr>
          <w:rFonts w:cs="Tahoma" w:hAnsi="Tahoma" w:ascii="Tahoma"/>
          <w:lang w:val="pl-PL"/>
        </w:rPr>
        <w:t>ni</w:t>
      </w:r>
      <w:r w:rsidRPr="0006486C">
        <w:rPr>
          <w:rFonts w:cs="Tahoma" w:hAnsi="Tahoma" w:ascii="Tahoma"/>
        </w:rPr>
        <w:t xml:space="preserve"> </w:t>
      </w:r>
      <w:r w:rsidRPr="0006486C">
        <w:rPr>
          <w:rFonts w:cs="Tahoma" w:hAnsi="Tahoma" w:ascii="Tahoma"/>
          <w:lang w:val="pl-PL"/>
        </w:rPr>
        <w:t>trgova</w:t>
      </w:r>
      <w:r w:rsidRPr="0006486C">
        <w:rPr>
          <w:rFonts w:cs="Tahoma" w:hAnsi="Tahoma" w:ascii="Tahoma"/>
        </w:rPr>
        <w:t>č</w:t>
      </w:r>
      <w:r w:rsidRPr="0006486C">
        <w:rPr>
          <w:rFonts w:cs="Tahoma" w:hAnsi="Tahoma" w:ascii="Tahoma"/>
          <w:lang w:val="pl-PL"/>
        </w:rPr>
        <w:t>ki</w:t>
      </w:r>
      <w:r w:rsidRPr="0006486C">
        <w:rPr>
          <w:rFonts w:cs="Tahoma" w:hAnsi="Tahoma" w:ascii="Tahoma"/>
        </w:rPr>
        <w:t xml:space="preserve"> </w:t>
      </w:r>
      <w:r w:rsidRPr="0006486C">
        <w:rPr>
          <w:rFonts w:cs="Tahoma" w:hAnsi="Tahoma" w:ascii="Tahoma"/>
          <w:lang w:val="pl-PL"/>
        </w:rPr>
        <w:t>sud</w:t>
      </w:r>
      <w:r>
        <w:rPr>
          <w:rFonts w:cs="Tahoma" w:hAnsi="Tahoma" w:ascii="Tahoma"/>
          <w:lang w:val="pl-PL"/>
        </w:rPr>
        <w:t xml:space="preserve">: </w:t>
      </w:r>
      <w:r w:rsidRPr="0006486C">
        <w:rPr>
          <w:rFonts w:cs="Tahoma" w:hAnsi="Tahoma" w:ascii="Tahoma"/>
        </w:rPr>
        <w:t xml:space="preserve"> </w:t>
      </w:r>
      <w:r>
        <w:rPr>
          <w:rFonts w:cs="Tahoma" w:hAnsi="Tahoma" w:ascii="Tahoma"/>
          <w:b/>
        </w:rPr>
        <w:t>Trgovački sud u Varaždinu</w:t>
      </w:r>
    </w:p>
    <w:p w:rsidRDefault="00625EA3" w:rsidP="00625EA3" w:rsidR="00625EA3">
      <w:pPr>
        <w:jc w:val="both"/>
        <w:rPr>
          <w:rFonts w:cs="Tahoma" w:hAnsi="Tahoma" w:ascii="Tahoma"/>
          <w:lang w:val="pl-PL"/>
        </w:rPr>
      </w:pPr>
      <w:r w:rsidRPr="0006486C">
        <w:rPr>
          <w:rFonts w:cs="Tahoma" w:hAnsi="Tahoma" w:ascii="Tahoma"/>
          <w:lang w:val="pl-PL"/>
        </w:rPr>
        <w:t>Poslovni broj spisa</w:t>
      </w:r>
      <w:r>
        <w:rPr>
          <w:rFonts w:cs="Tahoma" w:hAnsi="Tahoma" w:ascii="Tahoma"/>
          <w:lang w:val="pl-PL"/>
        </w:rPr>
        <w:t xml:space="preserve">:       </w:t>
      </w:r>
      <w:r w:rsidRPr="0006486C">
        <w:rPr>
          <w:rFonts w:cs="Tahoma" w:hAnsi="Tahoma" w:ascii="Tahoma"/>
          <w:lang w:val="pl-PL"/>
        </w:rPr>
        <w:t xml:space="preserve"> </w:t>
      </w:r>
      <w:r w:rsidRPr="0006486C">
        <w:rPr>
          <w:rFonts w:cs="Tahoma" w:hAnsi="Tahoma" w:ascii="Tahoma"/>
          <w:b/>
          <w:lang w:val="pl-PL"/>
        </w:rPr>
        <w:t>St-</w:t>
      </w:r>
      <w:r>
        <w:rPr>
          <w:rFonts w:cs="Tahoma" w:hAnsi="Tahoma" w:ascii="Tahoma"/>
          <w:b/>
          <w:lang w:val="pl-PL"/>
        </w:rPr>
        <w:t>91/15</w:t>
      </w:r>
    </w:p>
    <w:p w:rsidRDefault="00625EA3" w:rsidP="00625EA3" w:rsidR="00625EA3">
      <w:pPr>
        <w:jc w:val="both"/>
        <w:rPr>
          <w:rFonts w:cs="Tahoma" w:hAnsi="Tahoma" w:ascii="Tahoma"/>
          <w:b/>
          <w:lang w:val="pl-PL"/>
        </w:rPr>
      </w:pPr>
      <w:r w:rsidRPr="0006486C">
        <w:rPr>
          <w:rFonts w:cs="Tahoma" w:hAnsi="Tahoma" w:ascii="Tahoma"/>
          <w:lang w:val="pl-PL"/>
        </w:rPr>
        <w:t>Dužnik</w:t>
      </w:r>
      <w:r>
        <w:rPr>
          <w:rFonts w:cs="Tahoma" w:hAnsi="Tahoma" w:ascii="Tahoma"/>
          <w:lang w:val="pl-PL"/>
        </w:rPr>
        <w:t xml:space="preserve">:      </w:t>
      </w:r>
      <w:r>
        <w:rPr>
          <w:rFonts w:cs="Tahoma" w:hAnsi="Tahoma" w:ascii="Tahoma"/>
          <w:lang w:val="pl-PL"/>
        </w:rPr>
        <w:tab/>
      </w:r>
      <w:r>
        <w:rPr>
          <w:rFonts w:cs="Tahoma" w:hAnsi="Tahoma" w:ascii="Tahoma"/>
          <w:lang w:val="pl-PL"/>
        </w:rPr>
        <w:tab/>
        <w:t xml:space="preserve">    </w:t>
      </w:r>
      <w:r>
        <w:rPr>
          <w:rFonts w:cs="Tahoma" w:hAnsi="Tahoma" w:ascii="Tahoma"/>
          <w:b/>
          <w:lang w:val="pl-PL"/>
        </w:rPr>
        <w:t>TVORNICA STOČNE HRANE d.o.o. u stečaju</w:t>
      </w:r>
    </w:p>
    <w:p w:rsidRDefault="00625EA3" w:rsidP="00625EA3" w:rsidR="00625EA3">
      <w:pPr>
        <w:jc w:val="both"/>
        <w:rPr>
          <w:rFonts w:cs="Tahoma" w:hAnsi="Tahoma" w:ascii="Tahoma"/>
          <w:b/>
          <w:lang w:val="pl-PL"/>
        </w:rPr>
      </w:pP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</w:r>
      <w:r>
        <w:rPr>
          <w:rFonts w:cs="Tahoma" w:hAnsi="Tahoma" w:ascii="Tahoma"/>
          <w:b/>
          <w:lang w:val="pl-PL"/>
        </w:rPr>
        <w:tab/>
        <w:t xml:space="preserve">    Kolodvorska 14, Koprivnica, OIB: 76325867397</w:t>
      </w:r>
    </w:p>
    <w:p w:rsidRDefault="006D58A3" w:rsidP="006D58A3" w:rsidR="006D58A3">
      <w:pPr>
        <w:spacing w:lineRule="auto" w:line="288" w:after="0"/>
        <w:jc w:val="both"/>
        <w:rPr>
          <w:rFonts w:cs="Tahoma" w:eastAsia="Times New Roman" w:hAnsi="Tahoma" w:ascii="Tahoma"/>
          <w:lang w:eastAsia="hr-HR" w:val="pl-PL"/>
        </w:rPr>
      </w:pPr>
    </w:p>
    <w:p w:rsidRDefault="006D58A3" w:rsidP="006D58A3" w:rsidR="00193C39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7D14E1">
        <w:rPr>
          <w:rFonts w:cs="Tahoma" w:eastAsia="Times New Roman" w:hAnsi="Tahoma" w:ascii="Tahoma"/>
          <w:lang w:eastAsia="hr-HR" w:val="pl-PL"/>
        </w:rPr>
        <w:t xml:space="preserve">Pred Trgovačkim sudom u Varaždinu, vodi se stečajni postupak </w:t>
      </w:r>
      <w:r>
        <w:rPr>
          <w:rFonts w:cs="Tahoma" w:eastAsia="Times New Roman" w:hAnsi="Tahoma" w:ascii="Tahoma"/>
          <w:lang w:eastAsia="hr-HR" w:val="pl-PL"/>
        </w:rPr>
        <w:t xml:space="preserve">broj St-91/15 </w:t>
      </w:r>
      <w:r w:rsidRPr="007D14E1">
        <w:rPr>
          <w:rFonts w:cs="Tahoma" w:eastAsia="Times New Roman" w:hAnsi="Tahoma" w:ascii="Tahoma"/>
          <w:lang w:eastAsia="hr-HR" w:val="pl-PL"/>
        </w:rPr>
        <w:t xml:space="preserve">nad dužnikom </w:t>
      </w:r>
      <w:r w:rsidRPr="00765383">
        <w:rPr>
          <w:rFonts w:cs="Tahoma" w:eastAsia="Times New Roman" w:hAnsi="Tahoma" w:ascii="Tahoma"/>
          <w:lang w:eastAsia="hr-HR"/>
        </w:rPr>
        <w:t xml:space="preserve"> TVORNICA STOČNE HRANE d.</w:t>
      </w:r>
      <w:r w:rsidR="001C4635">
        <w:rPr>
          <w:rFonts w:cs="Tahoma" w:eastAsia="Times New Roman" w:hAnsi="Tahoma" w:ascii="Tahoma"/>
          <w:lang w:eastAsia="hr-HR"/>
        </w:rPr>
        <w:t>o.o., skraćeni naziv TSH d.o.o.</w:t>
      </w:r>
      <w:r w:rsidRPr="00765383">
        <w:rPr>
          <w:rFonts w:cs="Tahoma" w:eastAsia="Times New Roman" w:hAnsi="Tahoma" w:ascii="Tahoma"/>
          <w:lang w:eastAsia="hr-HR"/>
        </w:rPr>
        <w:t xml:space="preserve"> iz Koprivnice, Kolodvorska 14, OI</w:t>
      </w:r>
      <w:r>
        <w:rPr>
          <w:rFonts w:cs="Tahoma" w:eastAsia="Times New Roman" w:hAnsi="Tahoma" w:ascii="Tahoma"/>
          <w:lang w:eastAsia="hr-HR"/>
        </w:rPr>
        <w:t xml:space="preserve">B: 76325867397, otvoren 31.7.2015. godine, </w:t>
      </w:r>
      <w:r w:rsidRPr="006D58A3">
        <w:rPr>
          <w:rFonts w:cs="Tahoma" w:eastAsia="Times New Roman" w:hAnsi="Tahoma" w:ascii="Tahoma"/>
          <w:lang w:eastAsia="hr-HR" w:val="pl-PL"/>
        </w:rPr>
        <w:t xml:space="preserve">te sukladno </w:t>
      </w:r>
      <w:r w:rsidRPr="006D58A3">
        <w:rPr>
          <w:rFonts w:cs="Tahoma" w:eastAsia="Times New Roman" w:hAnsi="Tahoma" w:ascii="Tahoma"/>
          <w:lang w:eastAsia="hr-HR"/>
        </w:rPr>
        <w:t>čl. 89. st. 2. Stečajnog zakona podnosim</w:t>
      </w:r>
    </w:p>
    <w:p w:rsidRDefault="006D58A3" w:rsidP="006D58A3" w:rsidR="006D58A3">
      <w:pPr>
        <w:spacing w:lineRule="auto" w:line="288" w:after="0"/>
        <w:jc w:val="both"/>
        <w:rPr>
          <w:rFonts w:cs="Tahoma" w:hAnsi="Tahoma" w:ascii="Tahoma"/>
          <w:b/>
        </w:rPr>
      </w:pPr>
    </w:p>
    <w:p w:rsidRDefault="00D617F4" w:rsidP="00193C39" w:rsidR="00D617F4">
      <w:pPr>
        <w:jc w:val="center"/>
        <w:rPr>
          <w:rFonts w:cs="Tahoma" w:hAnsi="Tahoma" w:ascii="Tahoma"/>
          <w:b/>
        </w:rPr>
      </w:pPr>
      <w:r w:rsidRPr="00597624">
        <w:rPr>
          <w:rFonts w:cs="Tahoma" w:hAnsi="Tahoma" w:ascii="Tahoma"/>
          <w:b/>
        </w:rPr>
        <w:t xml:space="preserve">Izvješće stečajnoga upravitelja o tijeku stečajnog </w:t>
      </w:r>
      <w:r>
        <w:rPr>
          <w:rFonts w:cs="Tahoma" w:hAnsi="Tahoma" w:ascii="Tahoma"/>
          <w:b/>
        </w:rPr>
        <w:t>p</w:t>
      </w:r>
      <w:r w:rsidRPr="00597624">
        <w:rPr>
          <w:rFonts w:cs="Tahoma" w:hAnsi="Tahoma" w:ascii="Tahoma"/>
          <w:b/>
        </w:rPr>
        <w:t>ostupka</w:t>
      </w:r>
      <w:r w:rsidR="00193C39">
        <w:rPr>
          <w:rFonts w:cs="Tahoma" w:hAnsi="Tahoma" w:ascii="Tahoma"/>
          <w:b/>
        </w:rPr>
        <w:t xml:space="preserve"> </w:t>
      </w:r>
    </w:p>
    <w:p w:rsidRDefault="00D617F4" w:rsidP="00193C39" w:rsidR="00193C39">
      <w:pPr>
        <w:jc w:val="center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i</w:t>
      </w:r>
      <w:r w:rsidRPr="00597624">
        <w:rPr>
          <w:rFonts w:cs="Tahoma" w:hAnsi="Tahoma" w:ascii="Tahoma"/>
          <w:b/>
        </w:rPr>
        <w:t xml:space="preserve"> stanju stečajne mase</w:t>
      </w:r>
      <w:r>
        <w:rPr>
          <w:rFonts w:cs="Tahoma" w:hAnsi="Tahoma" w:ascii="Tahoma"/>
          <w:b/>
        </w:rPr>
        <w:t xml:space="preserve"> </w:t>
      </w:r>
      <w:r w:rsidR="00193C39">
        <w:rPr>
          <w:rFonts w:cs="Tahoma" w:hAnsi="Tahoma" w:ascii="Tahoma"/>
          <w:b/>
        </w:rPr>
        <w:t xml:space="preserve">za razdoblje od </w:t>
      </w:r>
      <w:r w:rsidR="007D14E1">
        <w:rPr>
          <w:rFonts w:cs="Tahoma" w:hAnsi="Tahoma" w:ascii="Tahoma"/>
          <w:b/>
        </w:rPr>
        <w:t>31.7.2015.</w:t>
      </w:r>
      <w:r w:rsidR="00193C39">
        <w:rPr>
          <w:rFonts w:cs="Tahoma" w:hAnsi="Tahoma" w:ascii="Tahoma"/>
          <w:b/>
        </w:rPr>
        <w:t xml:space="preserve"> do </w:t>
      </w:r>
      <w:r w:rsidR="000F3ED5">
        <w:rPr>
          <w:rFonts w:cs="Tahoma" w:hAnsi="Tahoma" w:ascii="Tahoma"/>
          <w:b/>
        </w:rPr>
        <w:t>28</w:t>
      </w:r>
      <w:r w:rsidR="006D58A3">
        <w:rPr>
          <w:rFonts w:cs="Tahoma" w:hAnsi="Tahoma" w:ascii="Tahoma"/>
          <w:b/>
        </w:rPr>
        <w:t>.12.2017.</w:t>
      </w:r>
      <w:r w:rsidR="00193C39">
        <w:rPr>
          <w:rFonts w:cs="Tahoma" w:hAnsi="Tahoma" w:ascii="Tahoma"/>
          <w:b/>
        </w:rPr>
        <w:t xml:space="preserve"> godine</w:t>
      </w:r>
    </w:p>
    <w:p w:rsidRDefault="004952EF" w:rsidP="001014BB" w:rsidR="00193C39">
      <w:pPr>
        <w:jc w:val="center"/>
        <w:rPr>
          <w:rFonts w:cs="Tahoma" w:hAnsi="Tahoma" w:ascii="Tahoma"/>
          <w:b/>
          <w:i/>
          <w:sz w:val="16"/>
          <w:szCs w:val="16"/>
        </w:rPr>
      </w:pPr>
      <w:r>
        <w:rPr>
          <w:rFonts w:cs="Tahoma" w:hAnsi="Tahoma" w:ascii="Tahoma"/>
          <w:b/>
          <w:i/>
          <w:sz w:val="16"/>
          <w:szCs w:val="16"/>
        </w:rPr>
        <w:t>(</w:t>
      </w:r>
      <w:r w:rsidR="001014BB" w:rsidRPr="004952EF">
        <w:rPr>
          <w:rFonts w:cs="Tahoma" w:hAnsi="Tahoma" w:ascii="Tahoma"/>
          <w:b/>
          <w:i/>
          <w:sz w:val="16"/>
          <w:szCs w:val="16"/>
        </w:rPr>
        <w:t>Obrazac 20.</w:t>
      </w:r>
      <w:r>
        <w:rPr>
          <w:rFonts w:cs="Tahoma" w:hAnsi="Tahoma" w:ascii="Tahoma"/>
          <w:b/>
          <w:i/>
          <w:sz w:val="16"/>
          <w:szCs w:val="16"/>
        </w:rPr>
        <w:t>)</w:t>
      </w:r>
    </w:p>
    <w:p w:rsidRDefault="004952EF" w:rsidP="001014BB" w:rsidR="004952EF">
      <w:pPr>
        <w:jc w:val="center"/>
        <w:rPr>
          <w:rFonts w:cs="Tahoma" w:hAnsi="Tahoma" w:ascii="Tahoma"/>
          <w:b/>
          <w:i/>
          <w:sz w:val="16"/>
          <w:szCs w:val="16"/>
        </w:rPr>
      </w:pPr>
    </w:p>
    <w:p w:rsidRDefault="004952EF" w:rsidP="001014BB" w:rsidR="004952EF">
      <w:pPr>
        <w:jc w:val="center"/>
        <w:rPr>
          <w:rFonts w:cs="Tahoma" w:hAnsi="Tahoma" w:ascii="Tahoma"/>
          <w:b/>
          <w:i/>
          <w:sz w:val="16"/>
          <w:szCs w:val="16"/>
        </w:rPr>
      </w:pPr>
    </w:p>
    <w:p w:rsidRDefault="00597624" w:rsidP="006D58A3" w:rsidR="00625EA3" w:rsidRPr="006D58A3">
      <w:pPr>
        <w:pStyle w:val="Odlomakpopisa"/>
        <w:numPr>
          <w:ilvl w:val="0"/>
          <w:numId w:val="33"/>
        </w:numPr>
        <w:spacing w:lineRule="auto" w:line="288" w:after="0"/>
        <w:rPr>
          <w:rFonts w:cs="Tahoma" w:hAnsi="Tahoma" w:ascii="Tahoma"/>
          <w:b/>
          <w:lang w:val="pl-PL"/>
        </w:rPr>
      </w:pPr>
      <w:r w:rsidRPr="006D58A3">
        <w:rPr>
          <w:rFonts w:cs="Tahoma" w:hAnsi="Tahoma" w:ascii="Tahoma"/>
          <w:b/>
          <w:lang w:val="pl-PL"/>
        </w:rPr>
        <w:t xml:space="preserve">Tijek stečajnoga postupka u razdoblju </w:t>
      </w:r>
    </w:p>
    <w:p w:rsidRDefault="006D58A3" w:rsidP="006D58A3" w:rsidR="006D58A3" w:rsidRPr="006D58A3">
      <w:pPr>
        <w:pStyle w:val="Odlomakpopisa"/>
        <w:spacing w:lineRule="auto" w:line="288" w:after="0"/>
        <w:ind w:left="1080"/>
        <w:rPr>
          <w:rFonts w:cs="Tahoma" w:hAnsi="Tahoma" w:ascii="Tahoma"/>
          <w:lang w:val="pl-PL"/>
        </w:rPr>
      </w:pPr>
    </w:p>
    <w:p w:rsidRDefault="006D58A3" w:rsidP="006D58A3" w:rsidR="006D58A3" w:rsidRPr="002729A7">
      <w:pPr>
        <w:widowControl w:val="false"/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lineRule="auto" w:line="288" w:after="0"/>
        <w:jc w:val="both"/>
        <w:rPr>
          <w:rFonts w:cs="Tahoma" w:hAnsi="Tahoma" w:ascii="Tahoma"/>
          <w:color w:val="000000"/>
          <w:kern w:val="3"/>
          <w:u w:color="000000"/>
          <w:bdr w:val="nil"/>
          <w:lang w:eastAsia="hr-HR"/>
        </w:rPr>
      </w:pPr>
      <w:r w:rsidRPr="002729A7">
        <w:rPr>
          <w:rFonts w:cs="Tahoma" w:hAnsi="Tahoma" w:ascii="Tahoma"/>
          <w:color w:val="000000"/>
          <w:kern w:val="3"/>
          <w:u w:color="000000"/>
          <w:bdr w:val="nil"/>
          <w:lang w:eastAsia="hr-HR"/>
        </w:rPr>
        <w:t xml:space="preserve">Posljednje izvješće stečajnog upravitelja podneseno je za razdoblje od 31.7.2015. do 15.9.2017. godine, te je u odnosu na to </w:t>
      </w:r>
      <w:r w:rsidRPr="002729A7">
        <w:rPr>
          <w:rFonts w:cs="Tahoma" w:hAnsi="Tahoma" w:ascii="Tahoma"/>
          <w:color w:val="000000"/>
          <w:kern w:val="3"/>
          <w:bdr w:val="nil"/>
          <w:lang w:eastAsia="hr-HR"/>
        </w:rPr>
        <w:t xml:space="preserve">izvješće </w:t>
      </w:r>
      <w:r w:rsidRPr="002729A7">
        <w:rPr>
          <w:rFonts w:cs="Tahoma" w:hAnsi="Tahoma" w:ascii="Tahoma"/>
          <w:color w:val="000000"/>
          <w:kern w:val="3"/>
          <w:u w:val="single"/>
          <w:bdr w:val="nil"/>
          <w:lang w:eastAsia="hr-HR"/>
        </w:rPr>
        <w:t>izvršeno slijedeće</w:t>
      </w:r>
      <w:r w:rsidRPr="002729A7">
        <w:rPr>
          <w:rFonts w:cs="Tahoma" w:hAnsi="Tahoma" w:ascii="Tahoma"/>
          <w:color w:val="000000"/>
          <w:kern w:val="3"/>
          <w:u w:color="000000"/>
          <w:bdr w:val="nil"/>
          <w:lang w:eastAsia="hr-HR"/>
        </w:rPr>
        <w:t>:</w:t>
      </w:r>
    </w:p>
    <w:p w:rsidRDefault="00AF7500" w:rsidP="007E29D1" w:rsidR="000C7C05" w:rsidRPr="002729A7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 w:rsidRPr="002729A7">
        <w:rPr>
          <w:rFonts w:cs="Tahoma" w:hAnsi="Tahoma" w:ascii="Tahoma"/>
        </w:rPr>
        <w:t xml:space="preserve">u odnosu na </w:t>
      </w:r>
      <w:r w:rsidR="000C7C05" w:rsidRPr="002729A7">
        <w:rPr>
          <w:rFonts w:cs="Tahoma" w:hAnsi="Tahoma" w:ascii="Tahoma"/>
        </w:rPr>
        <w:t>neunovčenu imovinu u tijeku je 9. javna dražba za koju je zakazano ročište 8.3.2018. godine i to za:</w:t>
      </w:r>
    </w:p>
    <w:p w:rsidRDefault="000C7C05" w:rsidP="000C7C05" w:rsidR="000C7C05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</w:rPr>
      </w:pPr>
      <w:r w:rsidRPr="002729A7">
        <w:rPr>
          <w:rFonts w:cs="Tahoma" w:hAnsi="Tahoma" w:ascii="Tahoma"/>
        </w:rPr>
        <w:t>nekretnine upisane u zk.ul.</w:t>
      </w:r>
      <w:r w:rsidRPr="000C7C05">
        <w:rPr>
          <w:rFonts w:cs="Tahoma" w:hAnsi="Tahoma" w:ascii="Tahoma"/>
        </w:rPr>
        <w:t xml:space="preserve"> 13552 k.o. Koprivnica, zk.ul. 1653 k.o. Koprivnica i z.k.ul. 1654 k.o. Koprivnica koje su bile procijenjene na vrijednost od 2.910.000,00 kn za prodaju po početnoj cijeni od 762.839,04 kn, </w:t>
      </w:r>
    </w:p>
    <w:p w:rsidRDefault="000C7C05" w:rsidP="000C7C05" w:rsidR="000C7C05">
      <w:pPr>
        <w:pStyle w:val="Odlomakpopisa"/>
        <w:numPr>
          <w:ilvl w:val="0"/>
          <w:numId w:val="34"/>
        </w:numPr>
        <w:spacing w:lineRule="auto" w:line="288" w:after="0"/>
        <w:jc w:val="both"/>
        <w:rPr>
          <w:rFonts w:cs="Tahoma" w:hAnsi="Tahoma" w:ascii="Tahoma"/>
        </w:rPr>
      </w:pPr>
      <w:r w:rsidRPr="000C7C05">
        <w:rPr>
          <w:rFonts w:cs="Tahoma" w:hAnsi="Tahoma" w:ascii="Tahoma"/>
        </w:rPr>
        <w:t xml:space="preserve">pokretnine ugrađene u navedene nekretnine procijenjene vrijednosti od 1.092.637,26 kn </w:t>
      </w:r>
      <w:r>
        <w:rPr>
          <w:rFonts w:cs="Tahoma" w:hAnsi="Tahoma" w:ascii="Tahoma"/>
        </w:rPr>
        <w:t>za prodaju po početnoj cijeni od 699.288,00 kn,</w:t>
      </w:r>
    </w:p>
    <w:p w:rsidRDefault="00F35428" w:rsidP="00AF7500" w:rsidR="00F35428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ostvareni su priljevi na račun stečajnog dužnika u iznosu od 6.831,79 kn i to s osnove unovčenja </w:t>
      </w:r>
      <w:r w:rsidR="007E29D1" w:rsidRPr="003354AC">
        <w:rPr>
          <w:rFonts w:cs="Tahoma" w:hAnsi="Tahoma" w:ascii="Tahoma"/>
        </w:rPr>
        <w:t xml:space="preserve">potraživanja od dužnika nastala prije otvaranja stečajnog postupka </w:t>
      </w:r>
      <w:r>
        <w:rPr>
          <w:rFonts w:cs="Tahoma" w:hAnsi="Tahoma" w:ascii="Tahoma"/>
        </w:rPr>
        <w:t>u iznosu od 6.826,65 kn i priljevi od kamate banke u iznosu od 5,14 kn,</w:t>
      </w:r>
    </w:p>
    <w:p w:rsidRDefault="00F35428" w:rsidP="00AF7500" w:rsidR="00F35428" w:rsidRPr="00F35428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</w:rPr>
      </w:pPr>
      <w:r>
        <w:rPr>
          <w:rFonts w:cs="Tahoma" w:hAnsi="Tahoma" w:ascii="Tahoma"/>
          <w:lang w:val="pl-PL"/>
        </w:rPr>
        <w:t>ostvareni su troškovi stečajnog postupka u iznosu od 19.493,25 kn,</w:t>
      </w:r>
    </w:p>
    <w:p w:rsidRDefault="00AF7500" w:rsidP="00F35428" w:rsidR="00F35428">
      <w:pPr>
        <w:numPr>
          <w:ilvl w:val="0"/>
          <w:numId w:val="25"/>
        </w:numPr>
        <w:spacing w:lineRule="auto" w:line="288" w:after="0"/>
        <w:jc w:val="both"/>
        <w:rPr>
          <w:rFonts w:cs="Tahoma" w:hAnsi="Tahoma" w:ascii="Tahoma"/>
          <w:lang w:val="pl-PL"/>
        </w:rPr>
      </w:pPr>
      <w:r w:rsidRPr="00AF7500">
        <w:rPr>
          <w:rFonts w:cs="Tahoma" w:hAnsi="Tahoma" w:ascii="Tahoma"/>
          <w:lang w:val="pl-PL"/>
        </w:rPr>
        <w:t xml:space="preserve">na dan </w:t>
      </w:r>
      <w:r w:rsidR="000F3ED5">
        <w:rPr>
          <w:rFonts w:cs="Tahoma" w:hAnsi="Tahoma" w:ascii="Tahoma"/>
          <w:lang w:val="pl-PL"/>
        </w:rPr>
        <w:t>28</w:t>
      </w:r>
      <w:r w:rsidR="006D58A3">
        <w:rPr>
          <w:rFonts w:cs="Tahoma" w:hAnsi="Tahoma" w:ascii="Tahoma"/>
          <w:lang w:val="pl-PL"/>
        </w:rPr>
        <w:t>.12.2017.</w:t>
      </w:r>
      <w:r w:rsidRPr="00AF7500">
        <w:rPr>
          <w:rFonts w:cs="Tahoma" w:hAnsi="Tahoma" w:ascii="Tahoma"/>
          <w:lang w:val="pl-PL"/>
        </w:rPr>
        <w:t xml:space="preserve"> godine na računu stečajno</w:t>
      </w:r>
      <w:r w:rsidR="003354AC">
        <w:rPr>
          <w:rFonts w:cs="Tahoma" w:hAnsi="Tahoma" w:ascii="Tahoma"/>
          <w:lang w:val="pl-PL"/>
        </w:rPr>
        <w:t xml:space="preserve">g dužnika nalaze se novčana sredstva u iznosu od </w:t>
      </w:r>
      <w:r w:rsidR="000F3ED5">
        <w:rPr>
          <w:rFonts w:cs="Tahoma" w:hAnsi="Tahoma" w:ascii="Tahoma"/>
          <w:lang w:val="pl-PL"/>
        </w:rPr>
        <w:t>37.074,76</w:t>
      </w:r>
      <w:r w:rsidR="003354AC">
        <w:rPr>
          <w:rFonts w:cs="Tahoma" w:hAnsi="Tahoma" w:ascii="Tahoma"/>
          <w:lang w:val="pl-PL"/>
        </w:rPr>
        <w:t xml:space="preserve"> kn</w:t>
      </w:r>
      <w:r w:rsidR="00F35428">
        <w:rPr>
          <w:rFonts w:cs="Tahoma" w:hAnsi="Tahoma" w:ascii="Tahoma"/>
          <w:lang w:val="pl-PL"/>
        </w:rPr>
        <w:t>.</w:t>
      </w:r>
    </w:p>
    <w:p w:rsidRDefault="00F35428" w:rsidP="00F35428" w:rsidR="00F35428">
      <w:pPr>
        <w:spacing w:lineRule="auto" w:line="288" w:after="0"/>
        <w:ind w:left="502"/>
        <w:jc w:val="both"/>
        <w:rPr>
          <w:rFonts w:cs="Tahoma" w:hAnsi="Tahoma" w:ascii="Tahoma"/>
          <w:lang w:val="pl-PL"/>
        </w:rPr>
      </w:pPr>
    </w:p>
    <w:p w:rsidRDefault="0053082F" w:rsidP="00E62AE8" w:rsidR="0053082F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</w:p>
    <w:p w:rsidRDefault="00E62AE8" w:rsidP="00E62AE8" w:rsidR="00E62AE8" w:rsidRPr="00D617F4">
      <w:pPr>
        <w:spacing w:lineRule="auto" w:line="288" w:after="0"/>
        <w:jc w:val="both"/>
        <w:rPr>
          <w:rFonts w:cs="Tahoma" w:eastAsia="Times New Roman" w:hAnsi="Tahoma" w:ascii="Tahoma"/>
          <w:b/>
          <w:u w:val="single"/>
          <w:lang w:eastAsia="hr-HR" w:val="pl-PL"/>
        </w:rPr>
      </w:pPr>
      <w:r w:rsidRPr="00D617F4">
        <w:rPr>
          <w:rFonts w:cs="Tahoma" w:eastAsia="Times New Roman" w:hAnsi="Tahoma" w:ascii="Tahoma"/>
          <w:b/>
          <w:u w:val="single"/>
          <w:lang w:eastAsia="hr-HR" w:val="pl-PL"/>
        </w:rPr>
        <w:t>II. Stanje stečajne mase</w:t>
      </w:r>
      <w:r w:rsidRPr="00D617F4">
        <w:rPr>
          <w:rFonts w:cs="Tahoma" w:eastAsia="Times New Roman" w:hAnsi="Tahoma" w:ascii="Tahoma"/>
          <w:u w:val="single"/>
          <w:lang w:eastAsia="hr-HR"/>
        </w:rPr>
        <w:t xml:space="preserve"> </w:t>
      </w:r>
      <w:r w:rsidRPr="00D617F4">
        <w:rPr>
          <w:rFonts w:cs="Tahoma" w:eastAsia="Times New Roman" w:hAnsi="Tahoma" w:ascii="Tahoma"/>
          <w:b/>
          <w:u w:val="single"/>
          <w:lang w:eastAsia="hr-HR" w:val="pl-PL"/>
        </w:rPr>
        <w:t xml:space="preserve">na dan </w:t>
      </w:r>
      <w:r w:rsidR="000F3ED5">
        <w:rPr>
          <w:rFonts w:cs="Tahoma" w:eastAsia="Times New Roman" w:hAnsi="Tahoma" w:ascii="Tahoma"/>
          <w:b/>
          <w:u w:val="single"/>
          <w:lang w:eastAsia="hr-HR" w:val="pl-PL"/>
        </w:rPr>
        <w:t>28</w:t>
      </w:r>
      <w:r w:rsidR="006D58A3">
        <w:rPr>
          <w:rFonts w:cs="Tahoma" w:eastAsia="Times New Roman" w:hAnsi="Tahoma" w:ascii="Tahoma"/>
          <w:b/>
          <w:u w:val="single"/>
          <w:lang w:eastAsia="hr-HR" w:val="pl-PL"/>
        </w:rPr>
        <w:t>.12.2017.</w:t>
      </w:r>
      <w:r w:rsidRPr="00D617F4">
        <w:rPr>
          <w:rFonts w:cs="Tahoma" w:eastAsia="Times New Roman" w:hAnsi="Tahoma" w:ascii="Tahoma"/>
          <w:b/>
          <w:u w:val="single"/>
          <w:lang w:eastAsia="hr-HR" w:val="pl-PL"/>
        </w:rPr>
        <w:t xml:space="preserve"> godine</w:t>
      </w:r>
    </w:p>
    <w:p w:rsidRDefault="00E62AE8" w:rsidP="00E62AE8" w:rsidR="00E62AE8" w:rsidRPr="00E62AE8">
      <w:pPr>
        <w:spacing w:lineRule="auto" w:line="288" w:after="0"/>
        <w:jc w:val="both"/>
        <w:rPr>
          <w:rFonts w:cs="Tahoma" w:eastAsia="Times New Roman" w:hAnsi="Tahoma" w:ascii="Tahoma"/>
          <w:b/>
          <w:i/>
          <w:u w:val="single"/>
          <w:lang w:eastAsia="hr-HR" w:val="pl-PL"/>
        </w:rPr>
      </w:pPr>
    </w:p>
    <w:p w:rsidRDefault="00E62AE8" w:rsidP="00F35428" w:rsidR="00F35428" w:rsidRPr="00F35428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E62AE8">
        <w:rPr>
          <w:rFonts w:cs="Tahoma" w:eastAsia="Times New Roman" w:hAnsi="Tahoma" w:ascii="Tahoma"/>
          <w:lang w:eastAsia="hr-HR"/>
        </w:rPr>
        <w:t>U odnosu na posljednje izvješće stečajnog upravitelja (</w:t>
      </w:r>
      <w:r>
        <w:rPr>
          <w:rFonts w:cs="Tahoma" w:eastAsia="Times New Roman" w:hAnsi="Tahoma" w:ascii="Tahoma"/>
          <w:lang w:eastAsia="hr-HR"/>
        </w:rPr>
        <w:t xml:space="preserve">za razdoblje od </w:t>
      </w:r>
      <w:r w:rsidR="007D14E1">
        <w:rPr>
          <w:rFonts w:cs="Tahoma" w:eastAsia="Times New Roman" w:hAnsi="Tahoma" w:ascii="Tahoma"/>
          <w:lang w:eastAsia="hr-HR"/>
        </w:rPr>
        <w:t>31.7.2015.</w:t>
      </w:r>
      <w:r>
        <w:rPr>
          <w:rFonts w:cs="Tahoma" w:eastAsia="Times New Roman" w:hAnsi="Tahoma" w:ascii="Tahoma"/>
          <w:lang w:eastAsia="hr-HR"/>
        </w:rPr>
        <w:t xml:space="preserve"> do </w:t>
      </w:r>
      <w:r w:rsidR="00F35428">
        <w:rPr>
          <w:rFonts w:cs="Tahoma" w:eastAsia="Times New Roman" w:hAnsi="Tahoma" w:ascii="Tahoma"/>
          <w:lang w:eastAsia="hr-HR"/>
        </w:rPr>
        <w:t>15.9.2017</w:t>
      </w:r>
      <w:r>
        <w:rPr>
          <w:rFonts w:cs="Tahoma" w:eastAsia="Times New Roman" w:hAnsi="Tahoma" w:ascii="Tahoma"/>
          <w:lang w:eastAsia="hr-HR"/>
        </w:rPr>
        <w:t>.</w:t>
      </w:r>
      <w:r w:rsidR="00F50D53">
        <w:rPr>
          <w:rFonts w:cs="Tahoma" w:eastAsia="Times New Roman" w:hAnsi="Tahoma" w:ascii="Tahoma"/>
          <w:lang w:eastAsia="hr-HR"/>
        </w:rPr>
        <w:t xml:space="preserve"> godine)</w:t>
      </w:r>
      <w:r w:rsidRPr="00E62AE8">
        <w:rPr>
          <w:rFonts w:cs="Tahoma" w:eastAsia="Times New Roman" w:hAnsi="Tahoma" w:ascii="Tahoma"/>
          <w:lang w:eastAsia="hr-HR"/>
        </w:rPr>
        <w:t xml:space="preserve"> </w:t>
      </w:r>
      <w:r w:rsidR="00F35428" w:rsidRPr="00F35428">
        <w:rPr>
          <w:rFonts w:cs="Tahoma" w:eastAsia="Times New Roman" w:hAnsi="Tahoma" w:ascii="Tahoma"/>
          <w:lang w:eastAsia="hr-HR"/>
        </w:rPr>
        <w:t xml:space="preserve">nije bilo unovčenja u pogledu nekretnina i pokretnina, u poslovnim </w:t>
      </w:r>
      <w:r w:rsidR="00F35428" w:rsidRPr="00F35428">
        <w:rPr>
          <w:rFonts w:cs="Tahoma" w:eastAsia="Times New Roman" w:hAnsi="Tahoma" w:ascii="Tahoma"/>
          <w:lang w:eastAsia="hr-HR"/>
        </w:rPr>
        <w:lastRenderedPageBreak/>
        <w:t xml:space="preserve">evidencijama izvršeno je usklađenje </w:t>
      </w:r>
      <w:r w:rsidR="00F35428">
        <w:rPr>
          <w:rFonts w:cs="Tahoma" w:eastAsia="Times New Roman" w:hAnsi="Tahoma" w:ascii="Tahoma"/>
          <w:lang w:eastAsia="hr-HR"/>
        </w:rPr>
        <w:t>imovine (nekretnina i pokretnina) po neuspješnim javnim dražbama</w:t>
      </w:r>
      <w:r w:rsidR="00F35428" w:rsidRPr="00F35428">
        <w:rPr>
          <w:rFonts w:cs="Tahoma" w:eastAsia="Times New Roman" w:hAnsi="Tahoma" w:ascii="Tahoma"/>
          <w:lang w:eastAsia="hr-HR"/>
        </w:rPr>
        <w:t>.</w:t>
      </w:r>
    </w:p>
    <w:p w:rsidRDefault="0034666C" w:rsidP="0034666C" w:rsidR="0034666C" w:rsidRPr="00D23673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</w:p>
    <w:p w:rsidRDefault="00A77518" w:rsidP="00062F66" w:rsidR="00A77518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E62AE8" w:rsidP="00E62AE8" w:rsidR="00E62AE8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  <w:r w:rsidRPr="00062F66">
        <w:rPr>
          <w:rFonts w:cs="Tahoma" w:eastAsia="Times New Roman" w:hAnsi="Tahoma" w:ascii="Tahoma"/>
          <w:b/>
          <w:lang w:eastAsia="hr-HR" w:val="pl-PL"/>
        </w:rPr>
        <w:t xml:space="preserve">III. </w:t>
      </w:r>
      <w:r w:rsidR="00062F66" w:rsidRPr="00062F66">
        <w:rPr>
          <w:rFonts w:cs="Tahoma" w:eastAsia="Times New Roman" w:hAnsi="Tahoma" w:ascii="Tahoma"/>
          <w:b/>
          <w:lang w:eastAsia="hr-HR" w:val="pl-PL"/>
        </w:rPr>
        <w:t>Radnje koje će se poduzeti u narednom razdoblju</w:t>
      </w:r>
    </w:p>
    <w:p w:rsidRDefault="0080338E" w:rsidP="00E62AE8" w:rsidR="0080338E" w:rsidRPr="00062F66">
      <w:pPr>
        <w:spacing w:lineRule="auto" w:line="288" w:after="0"/>
        <w:jc w:val="both"/>
        <w:rPr>
          <w:rFonts w:cs="Tahoma" w:eastAsia="Times New Roman" w:hAnsi="Tahoma" w:ascii="Tahoma"/>
          <w:b/>
          <w:lang w:eastAsia="hr-HR" w:val="pl-PL"/>
        </w:rPr>
      </w:pPr>
    </w:p>
    <w:p w:rsidRDefault="0080338E" w:rsidP="0080338E" w:rsidR="0080338E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  <w:r w:rsidRPr="0080338E">
        <w:rPr>
          <w:rFonts w:cs="Tahoma" w:eastAsia="Times New Roman" w:hAnsi="Tahoma" w:ascii="Tahoma"/>
          <w:lang w:eastAsia="hr-HR" w:val="pl-PL"/>
        </w:rPr>
        <w:t xml:space="preserve">Stečajni upravitelj u ovom stečajnom postupku nastavit će unovčenje </w:t>
      </w:r>
      <w:r>
        <w:rPr>
          <w:rFonts w:cs="Tahoma" w:eastAsia="Times New Roman" w:hAnsi="Tahoma" w:ascii="Tahoma"/>
          <w:lang w:eastAsia="hr-HR" w:val="pl-PL"/>
        </w:rPr>
        <w:t xml:space="preserve">preostale </w:t>
      </w:r>
      <w:r w:rsidRPr="0080338E">
        <w:rPr>
          <w:rFonts w:cs="Tahoma" w:eastAsia="Times New Roman" w:hAnsi="Tahoma" w:ascii="Tahoma"/>
          <w:lang w:eastAsia="hr-HR" w:val="pl-PL"/>
        </w:rPr>
        <w:t xml:space="preserve">imovine u vlasništvu stečajnog dužnika i to pokretnina </w:t>
      </w:r>
      <w:r>
        <w:rPr>
          <w:rFonts w:cs="Tahoma" w:eastAsia="Times New Roman" w:hAnsi="Tahoma" w:ascii="Tahoma"/>
          <w:lang w:eastAsia="hr-HR" w:val="pl-PL"/>
        </w:rPr>
        <w:t xml:space="preserve">i zaliha robe </w:t>
      </w:r>
      <w:r w:rsidRPr="0080338E">
        <w:rPr>
          <w:rFonts w:cs="Tahoma" w:eastAsia="Times New Roman" w:hAnsi="Tahoma" w:ascii="Tahoma"/>
          <w:lang w:eastAsia="hr-HR"/>
        </w:rPr>
        <w:t xml:space="preserve">prikupljanjem </w:t>
      </w:r>
      <w:r>
        <w:rPr>
          <w:rFonts w:cs="Tahoma" w:eastAsia="Times New Roman" w:hAnsi="Tahoma" w:ascii="Tahoma"/>
          <w:lang w:eastAsia="hr-HR"/>
        </w:rPr>
        <w:t xml:space="preserve">najpovoljnijih </w:t>
      </w:r>
      <w:r w:rsidRPr="0080338E">
        <w:rPr>
          <w:rFonts w:cs="Tahoma" w:eastAsia="Times New Roman" w:hAnsi="Tahoma" w:ascii="Tahoma"/>
          <w:lang w:eastAsia="hr-HR"/>
        </w:rPr>
        <w:t>pismenih ponuda</w:t>
      </w:r>
      <w:r w:rsidR="00E543BF">
        <w:rPr>
          <w:rFonts w:cs="Tahoma" w:eastAsia="Times New Roman" w:hAnsi="Tahoma" w:ascii="Tahoma"/>
          <w:lang w:eastAsia="hr-HR"/>
        </w:rPr>
        <w:t xml:space="preserve"> </w:t>
      </w:r>
      <w:r>
        <w:rPr>
          <w:rFonts w:cs="Tahoma" w:eastAsia="Times New Roman" w:hAnsi="Tahoma" w:ascii="Tahoma"/>
          <w:lang w:eastAsia="hr-HR"/>
        </w:rPr>
        <w:t>i</w:t>
      </w:r>
      <w:r w:rsidRPr="0080338E">
        <w:rPr>
          <w:rFonts w:cs="Tahoma" w:eastAsia="Times New Roman" w:hAnsi="Tahoma" w:ascii="Tahoma"/>
          <w:lang w:eastAsia="hr-HR"/>
        </w:rPr>
        <w:t xml:space="preserve"> nekretnina putem javnih dražbi, te predlaže:</w:t>
      </w:r>
    </w:p>
    <w:p w:rsidRDefault="00E543BF" w:rsidP="0080338E" w:rsidR="00E543BF" w:rsidRPr="0080338E">
      <w:pPr>
        <w:spacing w:lineRule="auto" w:line="288" w:after="0"/>
        <w:jc w:val="both"/>
        <w:rPr>
          <w:rFonts w:cs="Tahoma" w:eastAsia="Times New Roman" w:hAnsi="Tahoma" w:ascii="Tahoma"/>
          <w:lang w:eastAsia="hr-HR"/>
        </w:rPr>
      </w:pPr>
    </w:p>
    <w:p w:rsidRDefault="0080338E" w:rsidP="0080338E" w:rsidR="00A77518" w:rsidRPr="0080338E">
      <w:pPr>
        <w:widowControl w:val="false"/>
        <w:numPr>
          <w:ilvl w:val="0"/>
          <w:numId w:val="1"/>
        </w:numPr>
        <w:suppressAutoHyphens/>
        <w:autoSpaceDN w:val="false"/>
        <w:spacing w:lineRule="auto" w:line="288" w:after="0"/>
        <w:contextualSpacing/>
        <w:jc w:val="both"/>
        <w:textAlignment w:val="baseline"/>
        <w:rPr>
          <w:rFonts w:cs="Tahoma" w:eastAsia="Times New Roman" w:hAnsi="Tahoma" w:ascii="Tahoma"/>
          <w:lang w:eastAsia="hr-HR" w:val="pl-PL"/>
        </w:rPr>
      </w:pPr>
      <w:r>
        <w:rPr>
          <w:rFonts w:cs="Tahoma" w:eastAsia="Times New Roman" w:hAnsi="Tahoma" w:ascii="Tahoma"/>
          <w:lang w:eastAsia="hr-HR"/>
        </w:rPr>
        <w:t>prihvaćanje</w:t>
      </w:r>
      <w:r w:rsidRPr="0080338E">
        <w:rPr>
          <w:rFonts w:cs="Tahoma" w:eastAsia="Times New Roman" w:hAnsi="Tahoma" w:ascii="Tahoma"/>
          <w:lang w:eastAsia="hr-HR"/>
        </w:rPr>
        <w:t xml:space="preserve"> </w:t>
      </w:r>
      <w:r>
        <w:rPr>
          <w:rFonts w:cs="Tahoma" w:eastAsia="Times New Roman" w:hAnsi="Tahoma" w:ascii="Tahoma"/>
          <w:lang w:eastAsia="hr-HR"/>
        </w:rPr>
        <w:t>izvješća</w:t>
      </w:r>
      <w:r w:rsidRPr="0080338E">
        <w:rPr>
          <w:rFonts w:cs="Tahoma" w:eastAsia="Times New Roman" w:hAnsi="Tahoma" w:ascii="Tahoma"/>
          <w:lang w:eastAsia="hr-HR"/>
        </w:rPr>
        <w:t xml:space="preserve"> stečajnog upravitelja o tijeku stečajnog postupka i stanju stečajne mase </w:t>
      </w:r>
      <w:r>
        <w:rPr>
          <w:rFonts w:cs="Tahoma" w:eastAsia="Times New Roman" w:hAnsi="Tahoma" w:ascii="Tahoma"/>
          <w:lang w:eastAsia="hr-HR"/>
        </w:rPr>
        <w:t xml:space="preserve">za razdoblje od 31.7.2015. </w:t>
      </w:r>
      <w:r w:rsidRPr="0080338E">
        <w:rPr>
          <w:rFonts w:cs="Tahoma" w:eastAsia="Times New Roman" w:hAnsi="Tahoma" w:ascii="Tahoma"/>
          <w:lang w:eastAsia="hr-HR"/>
        </w:rPr>
        <w:t xml:space="preserve">od </w:t>
      </w:r>
      <w:r w:rsidR="000F3ED5">
        <w:rPr>
          <w:rFonts w:cs="Tahoma" w:eastAsia="Times New Roman" w:hAnsi="Tahoma" w:ascii="Tahoma"/>
          <w:lang w:eastAsia="hr-HR"/>
        </w:rPr>
        <w:t>28</w:t>
      </w:r>
      <w:r w:rsidR="006D58A3">
        <w:rPr>
          <w:rFonts w:cs="Tahoma" w:eastAsia="Times New Roman" w:hAnsi="Tahoma" w:ascii="Tahoma"/>
          <w:lang w:eastAsia="hr-HR"/>
        </w:rPr>
        <w:t>.12.2017.</w:t>
      </w:r>
      <w:r w:rsidRPr="0080338E">
        <w:rPr>
          <w:rFonts w:cs="Tahoma" w:eastAsia="Times New Roman" w:hAnsi="Tahoma" w:ascii="Tahoma"/>
          <w:lang w:eastAsia="hr-HR"/>
        </w:rPr>
        <w:t xml:space="preserve"> godine</w:t>
      </w:r>
      <w:r>
        <w:rPr>
          <w:rFonts w:cs="Tahoma" w:eastAsia="Times New Roman" w:hAnsi="Tahoma" w:ascii="Tahoma"/>
          <w:lang w:eastAsia="hr-HR"/>
        </w:rPr>
        <w:t>.</w:t>
      </w:r>
    </w:p>
    <w:p w:rsidRDefault="0080338E" w:rsidP="0080338E" w:rsidR="0080338E">
      <w:pPr>
        <w:widowControl w:val="false"/>
        <w:suppressAutoHyphens/>
        <w:autoSpaceDN w:val="false"/>
        <w:spacing w:lineRule="auto" w:line="288" w:after="0"/>
        <w:ind w:left="720"/>
        <w:contextualSpacing/>
        <w:jc w:val="both"/>
        <w:textAlignment w:val="baseline"/>
        <w:rPr>
          <w:rFonts w:cs="Tahoma" w:eastAsia="Times New Roman" w:hAnsi="Tahoma" w:ascii="Tahoma"/>
          <w:lang w:eastAsia="hr-HR" w:val="pl-PL"/>
        </w:rPr>
      </w:pPr>
    </w:p>
    <w:p w:rsidRDefault="00A77518" w:rsidP="001A7E38" w:rsidR="00A77518">
      <w:pPr>
        <w:spacing w:lineRule="auto" w:line="288" w:after="0"/>
        <w:ind w:left="4956"/>
        <w:jc w:val="both"/>
        <w:rPr>
          <w:rFonts w:cs="Tahoma" w:eastAsia="Times New Roman" w:hAnsi="Tahoma" w:ascii="Tahoma"/>
          <w:lang w:eastAsia="hr-HR" w:val="pl-PL"/>
        </w:rPr>
      </w:pPr>
    </w:p>
    <w:p w:rsidRDefault="00B84C68" w:rsidP="001A7E38" w:rsidR="00C61F72" w:rsidRPr="000E1F39">
      <w:pPr>
        <w:spacing w:lineRule="auto" w:line="288" w:after="0"/>
        <w:ind w:left="4956"/>
        <w:jc w:val="both"/>
        <w:rPr>
          <w:lang w:val="pl-PL"/>
        </w:rPr>
      </w:pPr>
      <w:r>
        <w:rPr>
          <w:rFonts w:cs="Tahoma" w:eastAsia="Times New Roman" w:hAnsi="Tahoma" w:ascii="Tahoma"/>
          <w:lang w:eastAsia="hr-HR" w:val="pl-PL"/>
        </w:rPr>
        <w:t>Stečajni upravitelj Stanko Makar</w:t>
      </w:r>
    </w:p>
    <w:sectPr w:rsidSect="002647EC" w:rsidR="00C61F72" w:rsidRPr="000E1F39">
      <w:foot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FAF" w:rsidP="0006486C" w:rsidR="00A41FAF">
      <w:pPr>
        <w:spacing w:after="0"/>
      </w:pPr>
      <w:r>
        <w:separator/>
      </w:r>
    </w:p>
  </w:endnote>
  <w:endnote w:id="0" w:type="continuationSeparator">
    <w:p w:rsidRDefault="00A41FAF" w:rsidP="0006486C" w:rsidR="00A41FA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0"/>
        <w:szCs w:val="20"/>
      </w:rPr>
      <w:id w:val="131998964"/>
      <w:docPartObj>
        <w:docPartGallery w:val="Page Numbers (Bottom of Page)"/>
        <w:docPartUnique/>
      </w:docPartObj>
    </w:sdtPr>
    <w:sdtEndPr>
      <w:rPr>
        <w:rFonts w:cs="Tahoma" w:hAnsi="Tahoma" w:ascii="Tahoma"/>
        <w:b/>
        <w:sz w:val="16"/>
        <w:szCs w:val="16"/>
      </w:rPr>
    </w:sdtEndPr>
    <w:sdtContent>
      <w:p w:rsidRDefault="00A01041" w:rsidP="002647EC" w:rsidR="00A01041">
        <w:pPr>
          <w:pStyle w:val="Podnoje"/>
          <w:jc w:val="center"/>
          <w:rPr>
            <w:sz w:val="20"/>
            <w:szCs w:val="20"/>
          </w:rPr>
        </w:pPr>
      </w:p>
      <w:p w:rsidRDefault="00FC0D76" w:rsidP="002647EC" w:rsidR="00A01041" w:rsidRPr="00B84C68">
        <w:pPr>
          <w:pStyle w:val="Podnoje"/>
          <w:pBdr>
            <w:top w:space="1" w:sz="4" w:color="auto" w:val="single"/>
          </w:pBdr>
          <w:jc w:val="center"/>
          <w:rPr>
            <w:rFonts w:cs="Tahoma" w:hAnsi="Tahoma" w:ascii="Tahoma"/>
            <w:b/>
            <w:sz w:val="20"/>
            <w:szCs w:val="20"/>
          </w:rPr>
        </w:pPr>
        <w:r w:rsidRPr="00B84C68">
          <w:rPr>
            <w:rFonts w:cs="Tahoma" w:hAnsi="Tahoma" w:ascii="Tahoma"/>
            <w:b/>
            <w:sz w:val="20"/>
            <w:szCs w:val="20"/>
          </w:rPr>
          <w:fldChar w:fldCharType="begin"/>
        </w:r>
        <w:r w:rsidR="00A01041" w:rsidRPr="00B84C68">
          <w:rPr>
            <w:rFonts w:cs="Tahoma" w:hAnsi="Tahoma" w:ascii="Tahoma"/>
            <w:b/>
            <w:sz w:val="20"/>
            <w:szCs w:val="20"/>
          </w:rPr>
          <w:instrText>PAGE   \* MERGEFORMAT</w:instrTex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separate"/>
        </w:r>
        <w:r w:rsidR="00616814">
          <w:rPr>
            <w:rFonts w:cs="Tahoma" w:hAnsi="Tahoma" w:ascii="Tahoma"/>
            <w:b/>
            <w:noProof/>
            <w:sz w:val="20"/>
            <w:szCs w:val="20"/>
          </w:rPr>
          <w:t>1</w:t>
        </w:r>
        <w:r w:rsidRPr="00B84C68">
          <w:rPr>
            <w:rFonts w:cs="Tahoma" w:hAnsi="Tahoma" w:ascii="Tahoma"/>
            <w:b/>
            <w:sz w:val="20"/>
            <w:szCs w:val="20"/>
          </w:rPr>
          <w:fldChar w:fldCharType="end"/>
        </w:r>
        <w:r w:rsidR="00A01041" w:rsidRPr="00B84C68">
          <w:rPr>
            <w:rFonts w:cs="Tahoma" w:hAnsi="Tahoma" w:ascii="Tahoma"/>
            <w:b/>
            <w:sz w:val="20"/>
            <w:szCs w:val="20"/>
          </w:rPr>
          <w:t>.</w:t>
        </w:r>
      </w:p>
      <w:p w:rsidRDefault="004952EF" w:rsidP="002647EC" w:rsidR="00A01041" w:rsidRPr="008C77BA">
        <w:pPr>
          <w:pStyle w:val="Podnoje"/>
          <w:rPr>
            <w:rFonts w:cs="Tahoma" w:hAnsi="Tahoma" w:ascii="Tahoma"/>
            <w:b/>
            <w:sz w:val="16"/>
            <w:szCs w:val="16"/>
          </w:rPr>
        </w:pPr>
        <w:r>
          <w:rPr>
            <w:rFonts w:cs="Tahoma" w:hAnsi="Tahoma" w:ascii="Tahoma"/>
            <w:b/>
            <w:sz w:val="16"/>
            <w:szCs w:val="16"/>
          </w:rPr>
          <w:t xml:space="preserve">Koprivnica, </w:t>
        </w:r>
        <w:r w:rsidR="00BA49E7">
          <w:rPr>
            <w:rFonts w:cs="Tahoma" w:hAnsi="Tahoma" w:ascii="Tahoma"/>
            <w:b/>
            <w:sz w:val="16"/>
            <w:szCs w:val="16"/>
          </w:rPr>
          <w:t>20.12.2017</w:t>
        </w:r>
        <w:r w:rsidR="004742E0">
          <w:rPr>
            <w:rFonts w:cs="Tahoma" w:hAnsi="Tahoma" w:ascii="Tahoma"/>
            <w:b/>
            <w:sz w:val="16"/>
            <w:szCs w:val="16"/>
          </w:rPr>
          <w:t>.</w:t>
        </w:r>
      </w:p>
    </w:sdtContent>
  </w:sdt>
  <w:p w:rsidRDefault="00A01041" w:rsidR="00A01041" w:rsidRPr="0006486C">
    <w:pPr>
      <w:pStyle w:val="Podnoje"/>
      <w:rPr>
        <w:i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FAF" w:rsidP="0006486C" w:rsidR="00A41FAF">
      <w:pPr>
        <w:spacing w:after="0"/>
      </w:pPr>
      <w:r>
        <w:separator/>
      </w:r>
    </w:p>
  </w:footnote>
  <w:footnote w:id="0" w:type="continuationSeparator">
    <w:p w:rsidRDefault="00A41FAF" w:rsidP="0006486C" w:rsidR="00A41FAF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90ECC"/>
    <w:multiLevelType w:val="hybridMultilevel"/>
    <w:tmpl w:val="8440EB8A"/>
    <w:lvl w:tplc="069A80F6" w:ilvl="0">
      <w:numFmt w:val="bullet"/>
      <w:lvlText w:val="-"/>
      <w:lvlJc w:val="left"/>
      <w:pPr>
        <w:ind w:hanging="360" w:left="502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1">
    <w:nsid w:val="07212BD7"/>
    <w:multiLevelType w:val="hybridMultilevel"/>
    <w:tmpl w:val="5D7233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0C3BCD"/>
    <w:multiLevelType w:val="hybridMultilevel"/>
    <w:tmpl w:val="A12C8F36"/>
    <w:lvl w:tplc="E2D0C1E8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4C4650"/>
    <w:multiLevelType w:val="hybridMultilevel"/>
    <w:tmpl w:val="3F46ECB6"/>
    <w:lvl w:tplc="03808E1A" w:ilvl="0"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A7644A"/>
    <w:multiLevelType w:val="hybridMultilevel"/>
    <w:tmpl w:val="B052E760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7DD243B"/>
    <w:multiLevelType w:val="hybridMultilevel"/>
    <w:tmpl w:val="7ABE5030"/>
    <w:lvl w:tplc="C10A3F80" w:ilvl="0">
      <w:numFmt w:val="bullet"/>
      <w:lvlText w:val="-"/>
      <w:lvlJc w:val="left"/>
      <w:pPr>
        <w:ind w:hanging="360" w:left="149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5"/>
      </w:pPr>
      <w:rPr>
        <w:rFonts w:hAnsi="Wingdings" w:ascii="Wingdings" w:hint="default"/>
      </w:rPr>
    </w:lvl>
  </w:abstractNum>
  <w:abstractNum w:abstractNumId="6">
    <w:nsid w:val="1D91063B"/>
    <w:multiLevelType w:val="hybridMultilevel"/>
    <w:tmpl w:val="8C9844D8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1F4E23C4"/>
    <w:multiLevelType w:val="hybridMultilevel"/>
    <w:tmpl w:val="8760E046"/>
    <w:lvl w:tplc="C10A3F80" w:ilvl="0">
      <w:numFmt w:val="bullet"/>
      <w:lvlText w:val="-"/>
      <w:lvlJc w:val="left"/>
      <w:pPr>
        <w:ind w:hanging="360" w:left="185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21A72E84"/>
    <w:multiLevelType w:val="hybridMultilevel"/>
    <w:tmpl w:val="52281A00"/>
    <w:lvl w:tplc="D562BC70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339809AD"/>
    <w:multiLevelType w:val="hybridMultilevel"/>
    <w:tmpl w:val="E55E0D5C"/>
    <w:lvl w:tplc="776E3F4C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73D62AC"/>
    <w:multiLevelType w:val="multilevel"/>
    <w:tmpl w:val="7DF809EC"/>
    <w:lvl w:ilvl="0">
      <w:numFmt w:val="bullet"/>
      <w:lvlText w:val=""/>
      <w:lvlJc w:val="left"/>
      <w:pPr>
        <w:ind w:hanging="360" w:left="720"/>
      </w:pPr>
      <w:rPr>
        <w:rFonts w:hAnsi="Wingdings" w:ascii="Wingdings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1">
    <w:nsid w:val="37422679"/>
    <w:multiLevelType w:val="hybridMultilevel"/>
    <w:tmpl w:val="D048D0BC"/>
    <w:lvl w:tplc="041A0011" w:ilvl="0">
      <w:start w:val="1"/>
      <w:numFmt w:val="decimal"/>
      <w:lvlText w:val="%1)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12">
    <w:nsid w:val="3B7E1CA7"/>
    <w:multiLevelType w:val="hybridMultilevel"/>
    <w:tmpl w:val="6C8E07AE"/>
    <w:lvl w:tplc="18283776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FD81365"/>
    <w:multiLevelType w:val="hybridMultilevel"/>
    <w:tmpl w:val="C4CE9A18"/>
    <w:lvl w:tplc="08A4CD20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44611134"/>
    <w:multiLevelType w:val="hybridMultilevel"/>
    <w:tmpl w:val="BB5E9A1E"/>
    <w:lvl w:tplc="1E94995A" w:ilvl="0">
      <w:numFmt w:val="bullet"/>
      <w:lvlText w:val="-"/>
      <w:lvlJc w:val="left"/>
      <w:pPr>
        <w:ind w:hanging="360" w:left="786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16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18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260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32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04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476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486"/>
      </w:pPr>
      <w:rPr>
        <w:rFonts w:hAnsi="Wingdings" w:ascii="Wingdings" w:hint="default"/>
      </w:rPr>
    </w:lvl>
  </w:abstractNum>
  <w:abstractNum w:abstractNumId="15">
    <w:nsid w:val="45C30248"/>
    <w:multiLevelType w:val="hybridMultilevel"/>
    <w:tmpl w:val="328C88F0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46EC1099"/>
    <w:multiLevelType w:val="hybridMultilevel"/>
    <w:tmpl w:val="DA4C2C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95B5ED3"/>
    <w:multiLevelType w:val="hybridMultilevel"/>
    <w:tmpl w:val="1474F068"/>
    <w:lvl w:tplc="C10A3F80" w:ilvl="0">
      <w:numFmt w:val="bullet"/>
      <w:lvlText w:val="-"/>
      <w:lvlJc w:val="left"/>
      <w:pPr>
        <w:ind w:hanging="360" w:left="149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BDB6719"/>
    <w:multiLevelType w:val="hybridMultilevel"/>
    <w:tmpl w:val="0F0CB43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C040535"/>
    <w:multiLevelType w:val="hybridMultilevel"/>
    <w:tmpl w:val="6E669A86"/>
    <w:lvl w:tplc="A02086CA" w:ilvl="0">
      <w:start w:val="1"/>
      <w:numFmt w:val="upperRoman"/>
      <w:lvlText w:val="%1."/>
      <w:lvlJc w:val="left"/>
      <w:pPr>
        <w:ind w:hanging="720" w:left="1080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006CB4"/>
    <w:multiLevelType w:val="hybridMultilevel"/>
    <w:tmpl w:val="1368BE7C"/>
    <w:lvl w:tplc="041A0017" w:ilvl="0">
      <w:start w:val="1"/>
      <w:numFmt w:val="lowerLetter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F8602AA"/>
    <w:multiLevelType w:val="hybridMultilevel"/>
    <w:tmpl w:val="8FA085DE"/>
    <w:lvl w:tplc="041A0017" w:ilvl="0">
      <w:start w:val="2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30A6F85"/>
    <w:multiLevelType w:val="hybridMultilevel"/>
    <w:tmpl w:val="010C7EB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912443F"/>
    <w:multiLevelType w:val="hybridMultilevel"/>
    <w:tmpl w:val="1854B600"/>
    <w:lvl w:tplc="03808E1A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97C3541"/>
    <w:multiLevelType w:val="hybridMultilevel"/>
    <w:tmpl w:val="89306E98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9A7138F"/>
    <w:multiLevelType w:val="hybridMultilevel"/>
    <w:tmpl w:val="BEB6ED4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>
    <w:nsid w:val="5C0C72F2"/>
    <w:multiLevelType w:val="hybridMultilevel"/>
    <w:tmpl w:val="08C0EBE2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7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4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1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3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054"/>
      </w:pPr>
      <w:rPr>
        <w:rFonts w:hAnsi="Wingdings" w:ascii="Wingdings" w:hint="default"/>
      </w:rPr>
    </w:lvl>
  </w:abstractNum>
  <w:abstractNum w:abstractNumId="28">
    <w:nsid w:val="5E786974"/>
    <w:multiLevelType w:val="hybridMultilevel"/>
    <w:tmpl w:val="F98ACC02"/>
    <w:lvl w:tplc="A7D2B2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15375D7"/>
    <w:multiLevelType w:val="hybridMultilevel"/>
    <w:tmpl w:val="670234B8"/>
    <w:lvl w:tplc="6554AAE2" w:ilvl="0"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8611293"/>
    <w:multiLevelType w:val="hybridMultilevel"/>
    <w:tmpl w:val="D698281C"/>
    <w:lvl w:tplc="2F2ADE46" w:ilvl="0">
      <w:start w:val="1"/>
      <w:numFmt w:val="decimal"/>
      <w:lvlText w:val="%1."/>
      <w:lvlJc w:val="left"/>
      <w:pPr>
        <w:ind w:hanging="360" w:left="360"/>
      </w:pPr>
      <w:rPr>
        <w:rFonts w:cs="Tahoma" w:eastAsia="Calibri" w:hAnsi="Tahoma" w:ascii="Tahoma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6B0A209E"/>
    <w:multiLevelType w:val="hybridMultilevel"/>
    <w:tmpl w:val="0A3AA7BC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2">
    <w:nsid w:val="6DD14727"/>
    <w:multiLevelType w:val="hybridMultilevel"/>
    <w:tmpl w:val="D3E0B49C"/>
    <w:lvl w:tplc="041A0017" w:ilvl="0">
      <w:start w:val="1"/>
      <w:numFmt w:val="lowerLetter"/>
      <w:lvlText w:val="%1)"/>
      <w:lvlJc w:val="left"/>
      <w:pPr>
        <w:ind w:hanging="360" w:left="135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33">
    <w:nsid w:val="77DD20C7"/>
    <w:multiLevelType w:val="hybridMultilevel"/>
    <w:tmpl w:val="5FAE124E"/>
    <w:lvl w:tplc="6554AAE2" w:ilvl="0">
      <w:numFmt w:val="bullet"/>
      <w:lvlText w:val="-"/>
      <w:lvlJc w:val="left"/>
      <w:pPr>
        <w:ind w:hanging="360" w:left="1778"/>
      </w:pPr>
      <w:rPr>
        <w:rFonts w:cs="Tahoma" w:eastAsia="Calibri" w:hAnsi="Tahoma" w:ascii="Tahoma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num w:numId="1">
    <w:abstractNumId w:val="23"/>
  </w:num>
  <w:num w:numId="2">
    <w:abstractNumId w:val="6"/>
  </w:num>
  <w:num w:numId="3">
    <w:abstractNumId w:val="27"/>
  </w:num>
  <w:num w:numId="4">
    <w:abstractNumId w:val="9"/>
  </w:num>
  <w:num w:numId="5">
    <w:abstractNumId w:val="2"/>
  </w:num>
  <w:num w:numId="6">
    <w:abstractNumId w:val="12"/>
  </w:num>
  <w:num w:numId="7">
    <w:abstractNumId w:val="16"/>
  </w:num>
  <w:num w:numId="8">
    <w:abstractNumId w:val="8"/>
  </w:num>
  <w:num w:numId="9">
    <w:abstractNumId w:val="1"/>
  </w:num>
  <w:num w:numId="10">
    <w:abstractNumId w:val="15"/>
  </w:num>
  <w:num w:numId="11">
    <w:abstractNumId w:val="21"/>
  </w:num>
  <w:num w:numId="12">
    <w:abstractNumId w:val="29"/>
  </w:num>
  <w:num w:numId="13">
    <w:abstractNumId w:val="14"/>
  </w:num>
  <w:num w:numId="14">
    <w:abstractNumId w:val="30"/>
  </w:num>
  <w:num w:numId="15">
    <w:abstractNumId w:val="11"/>
  </w:num>
  <w:num w:numId="16">
    <w:abstractNumId w:val="22"/>
  </w:num>
  <w:num w:numId="17">
    <w:abstractNumId w:val="33"/>
  </w:num>
  <w:num w:numId="18">
    <w:abstractNumId w:val="32"/>
  </w:num>
  <w:num w:numId="19">
    <w:abstractNumId w:val="26"/>
  </w:num>
  <w:num w:numId="20">
    <w:abstractNumId w:val="25"/>
  </w:num>
  <w:num w:numId="21">
    <w:abstractNumId w:val="4"/>
  </w:num>
  <w:num w:numId="22">
    <w:abstractNumId w:val="31"/>
  </w:num>
  <w:num w:numId="23">
    <w:abstractNumId w:val="13"/>
  </w:num>
  <w:num w:numId="24">
    <w:abstractNumId w:val="10"/>
  </w:num>
  <w:num w:numId="25">
    <w:abstractNumId w:val="0"/>
  </w:num>
  <w:num w:numId="26">
    <w:abstractNumId w:val="19"/>
  </w:num>
  <w:num w:numId="27">
    <w:abstractNumId w:val="18"/>
  </w:num>
  <w:num w:numId="28">
    <w:abstractNumId w:val="24"/>
  </w:num>
  <w:num w:numId="29">
    <w:abstractNumId w:val="3"/>
  </w:num>
  <w:num w:numId="30">
    <w:abstractNumId w:val="5"/>
  </w:num>
  <w:num w:numId="31">
    <w:abstractNumId w:val="17"/>
  </w:num>
  <w:num w:numId="32">
    <w:abstractNumId w:val="7"/>
  </w:num>
  <w:num w:numId="33">
    <w:abstractNumId w:val="28"/>
  </w:num>
  <w:num w:numId="34">
    <w:abstractNumId w:val="20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E1F39"/>
    <w:rsid w:val="00020841"/>
    <w:rsid w:val="00032982"/>
    <w:rsid w:val="00046F1F"/>
    <w:rsid w:val="00047DE1"/>
    <w:rsid w:val="00055C2A"/>
    <w:rsid w:val="00062F66"/>
    <w:rsid w:val="0006486C"/>
    <w:rsid w:val="000B5059"/>
    <w:rsid w:val="000C7C05"/>
    <w:rsid w:val="000C7D4E"/>
    <w:rsid w:val="000E1F39"/>
    <w:rsid w:val="000F3ED5"/>
    <w:rsid w:val="001014BB"/>
    <w:rsid w:val="0011049F"/>
    <w:rsid w:val="00122008"/>
    <w:rsid w:val="00123ACE"/>
    <w:rsid w:val="0015716D"/>
    <w:rsid w:val="001621A7"/>
    <w:rsid w:val="0016383D"/>
    <w:rsid w:val="0017104C"/>
    <w:rsid w:val="001758E2"/>
    <w:rsid w:val="001817CE"/>
    <w:rsid w:val="00193C39"/>
    <w:rsid w:val="001A14C3"/>
    <w:rsid w:val="001A3DD7"/>
    <w:rsid w:val="001A6575"/>
    <w:rsid w:val="001A7E38"/>
    <w:rsid w:val="001B3D1C"/>
    <w:rsid w:val="001C4635"/>
    <w:rsid w:val="001E2321"/>
    <w:rsid w:val="001F5F55"/>
    <w:rsid w:val="00226ACF"/>
    <w:rsid w:val="00233F76"/>
    <w:rsid w:val="00244B7A"/>
    <w:rsid w:val="0024510F"/>
    <w:rsid w:val="002524D7"/>
    <w:rsid w:val="002647EC"/>
    <w:rsid w:val="002729A7"/>
    <w:rsid w:val="002873B2"/>
    <w:rsid w:val="002C3641"/>
    <w:rsid w:val="002E1621"/>
    <w:rsid w:val="00317A86"/>
    <w:rsid w:val="003354AC"/>
    <w:rsid w:val="003425AD"/>
    <w:rsid w:val="0034666C"/>
    <w:rsid w:val="00364EE8"/>
    <w:rsid w:val="003670C8"/>
    <w:rsid w:val="0037302E"/>
    <w:rsid w:val="0038240F"/>
    <w:rsid w:val="00390688"/>
    <w:rsid w:val="003C175C"/>
    <w:rsid w:val="003D0A2C"/>
    <w:rsid w:val="003F5BCF"/>
    <w:rsid w:val="004546DD"/>
    <w:rsid w:val="00457795"/>
    <w:rsid w:val="0046259A"/>
    <w:rsid w:val="00462F52"/>
    <w:rsid w:val="004742E0"/>
    <w:rsid w:val="004767B8"/>
    <w:rsid w:val="00485784"/>
    <w:rsid w:val="004952EF"/>
    <w:rsid w:val="00495D7F"/>
    <w:rsid w:val="004D1754"/>
    <w:rsid w:val="004D1F87"/>
    <w:rsid w:val="004F3BF5"/>
    <w:rsid w:val="00501E56"/>
    <w:rsid w:val="005057C0"/>
    <w:rsid w:val="0053082F"/>
    <w:rsid w:val="0053692F"/>
    <w:rsid w:val="00537EEB"/>
    <w:rsid w:val="005428A1"/>
    <w:rsid w:val="0054537E"/>
    <w:rsid w:val="005468CF"/>
    <w:rsid w:val="00560E09"/>
    <w:rsid w:val="00561AB4"/>
    <w:rsid w:val="00581457"/>
    <w:rsid w:val="00583D88"/>
    <w:rsid w:val="005924EF"/>
    <w:rsid w:val="00597624"/>
    <w:rsid w:val="005B177D"/>
    <w:rsid w:val="005B79E4"/>
    <w:rsid w:val="00600E2B"/>
    <w:rsid w:val="00616814"/>
    <w:rsid w:val="00616DB1"/>
    <w:rsid w:val="00625EA3"/>
    <w:rsid w:val="0063386D"/>
    <w:rsid w:val="0063561D"/>
    <w:rsid w:val="00637802"/>
    <w:rsid w:val="00644015"/>
    <w:rsid w:val="00654C12"/>
    <w:rsid w:val="00665A29"/>
    <w:rsid w:val="00673C8C"/>
    <w:rsid w:val="006A69A1"/>
    <w:rsid w:val="006B19FE"/>
    <w:rsid w:val="006B2628"/>
    <w:rsid w:val="006B4667"/>
    <w:rsid w:val="006D58A3"/>
    <w:rsid w:val="006E2F4A"/>
    <w:rsid w:val="006F2C63"/>
    <w:rsid w:val="006F41F8"/>
    <w:rsid w:val="00713F9B"/>
    <w:rsid w:val="0072170A"/>
    <w:rsid w:val="0072378F"/>
    <w:rsid w:val="0074370F"/>
    <w:rsid w:val="007625C9"/>
    <w:rsid w:val="00765383"/>
    <w:rsid w:val="0078715A"/>
    <w:rsid w:val="007D14E1"/>
    <w:rsid w:val="007E29D1"/>
    <w:rsid w:val="007E2FC9"/>
    <w:rsid w:val="0080338E"/>
    <w:rsid w:val="00805D2A"/>
    <w:rsid w:val="00834210"/>
    <w:rsid w:val="0084393A"/>
    <w:rsid w:val="008479E5"/>
    <w:rsid w:val="008512FB"/>
    <w:rsid w:val="008603D9"/>
    <w:rsid w:val="00870BF1"/>
    <w:rsid w:val="0088130F"/>
    <w:rsid w:val="008865C1"/>
    <w:rsid w:val="00892202"/>
    <w:rsid w:val="008A64C7"/>
    <w:rsid w:val="008C77BA"/>
    <w:rsid w:val="008D47F9"/>
    <w:rsid w:val="00916E06"/>
    <w:rsid w:val="00930156"/>
    <w:rsid w:val="009359A9"/>
    <w:rsid w:val="00943B10"/>
    <w:rsid w:val="0094452E"/>
    <w:rsid w:val="00955F74"/>
    <w:rsid w:val="00975130"/>
    <w:rsid w:val="00975E1B"/>
    <w:rsid w:val="00975E65"/>
    <w:rsid w:val="00A01041"/>
    <w:rsid w:val="00A341BB"/>
    <w:rsid w:val="00A36565"/>
    <w:rsid w:val="00A412AF"/>
    <w:rsid w:val="00A41FAF"/>
    <w:rsid w:val="00A43A18"/>
    <w:rsid w:val="00A61E12"/>
    <w:rsid w:val="00A71E44"/>
    <w:rsid w:val="00A75C38"/>
    <w:rsid w:val="00A76B6D"/>
    <w:rsid w:val="00A77518"/>
    <w:rsid w:val="00A91EFD"/>
    <w:rsid w:val="00AA7C63"/>
    <w:rsid w:val="00AF39F5"/>
    <w:rsid w:val="00AF7500"/>
    <w:rsid w:val="00B057F4"/>
    <w:rsid w:val="00B05D0D"/>
    <w:rsid w:val="00B13021"/>
    <w:rsid w:val="00B42423"/>
    <w:rsid w:val="00B508BC"/>
    <w:rsid w:val="00B84C68"/>
    <w:rsid w:val="00BA49E7"/>
    <w:rsid w:val="00BD4AAF"/>
    <w:rsid w:val="00BE414C"/>
    <w:rsid w:val="00BE433B"/>
    <w:rsid w:val="00C55D31"/>
    <w:rsid w:val="00C61F72"/>
    <w:rsid w:val="00C654C7"/>
    <w:rsid w:val="00C7151B"/>
    <w:rsid w:val="00C81D1D"/>
    <w:rsid w:val="00C87513"/>
    <w:rsid w:val="00CD4C20"/>
    <w:rsid w:val="00CE596B"/>
    <w:rsid w:val="00CE7B8A"/>
    <w:rsid w:val="00CF4776"/>
    <w:rsid w:val="00D07F96"/>
    <w:rsid w:val="00D21A1D"/>
    <w:rsid w:val="00D475A9"/>
    <w:rsid w:val="00D617F4"/>
    <w:rsid w:val="00D6472E"/>
    <w:rsid w:val="00D94CA8"/>
    <w:rsid w:val="00D95BEE"/>
    <w:rsid w:val="00DA4009"/>
    <w:rsid w:val="00DB6DCD"/>
    <w:rsid w:val="00DC6513"/>
    <w:rsid w:val="00DC707D"/>
    <w:rsid w:val="00DE1192"/>
    <w:rsid w:val="00DE472D"/>
    <w:rsid w:val="00E01C11"/>
    <w:rsid w:val="00E43D41"/>
    <w:rsid w:val="00E47E69"/>
    <w:rsid w:val="00E543BF"/>
    <w:rsid w:val="00E62AE8"/>
    <w:rsid w:val="00E62FF5"/>
    <w:rsid w:val="00E67A94"/>
    <w:rsid w:val="00E917EC"/>
    <w:rsid w:val="00EB570E"/>
    <w:rsid w:val="00EC2B79"/>
    <w:rsid w:val="00EC76E0"/>
    <w:rsid w:val="00ED25AC"/>
    <w:rsid w:val="00F11D3A"/>
    <w:rsid w:val="00F35428"/>
    <w:rsid w:val="00F37F7C"/>
    <w:rsid w:val="00F50D53"/>
    <w:rsid w:val="00F54D4C"/>
    <w:rsid w:val="00F75F4D"/>
    <w:rsid w:val="00F875E6"/>
    <w:rsid w:val="00FC0D76"/>
    <w:rsid w:val="00FC4997"/>
    <w:rsid w:val="00FC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1754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6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6C"/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lineRule="auto" w:line="240" w:after="80"/>
    </w:p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Standard" w:type="paragraph">
    <w:name w:val="Standard"/>
    <w:rsid w:val="00765383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/>
    </w:rPr>
  </w:style>
  <w:style w:customStyle="true" w:styleId="Reetkatablice1" w:type="table">
    <w:name w:val="Rešetka tablice1"/>
    <w:basedOn w:val="Obinatablica"/>
    <w:next w:val="Reetkatablice"/>
    <w:uiPriority w:val="59"/>
    <w:rsid w:val="001A3DD7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basedOn w:val="Obinatablica"/>
    <w:next w:val="Reetkatablice"/>
    <w:uiPriority w:val="59"/>
    <w:rsid w:val="001A3DD7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A14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4C3"/>
    <w:rPr>
      <w:rFonts w:cs="Times New Roman" w:eastAsia="SimSun" w:hAnsi="Times New Roman" w:ascii="Times New Roman"/>
      <w:b/>
      <w:kern w:val="3"/>
      <w:sz w:val="24"/>
      <w:szCs w:val="24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1A14C3"/>
    <w:rPr>
      <w:rFonts w:cs="Tahoma" w:eastAsia="SimSun" w:hAnsi="Tahoma" w:ascii="Tahoma"/>
      <w:b/>
      <w:kern w:val="3"/>
      <w:sz w:val="24"/>
      <w:szCs w:val="24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1A14C3"/>
    <w:rPr>
      <w:rFonts w:cs="Tahoma" w:eastAsia="SimSun" w:hAnsi="Tahoma" w:ascii="Tahoma"/>
      <w:b w:val="false"/>
      <w:kern w:val="3"/>
      <w:sz w:val="24"/>
      <w:szCs w:val="24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1A14C3"/>
    <w:rPr>
      <w:rFonts w:cs="Tahoma" w:eastAsia="SimSun" w:hAnsi="Tahoma" w:ascii="Tahoma"/>
      <w:b w:val="false"/>
      <w:kern w:val="3"/>
      <w:sz w:val="24"/>
      <w:szCs w:val="24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1754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6486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6486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6486C"/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6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6C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97624"/>
    <w:pPr>
      <w:ind w:left="720"/>
      <w:contextualSpacing/>
    </w:pPr>
  </w:style>
  <w:style w:styleId="Reetkatablice" w:type="table">
    <w:name w:val="Table Grid"/>
    <w:basedOn w:val="Obinatablica"/>
    <w:uiPriority w:val="59"/>
    <w:rsid w:val="005924E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Elegantnatablica" w:type="table">
    <w:name w:val="Table Elegant"/>
    <w:basedOn w:val="Obinatablica"/>
    <w:uiPriority w:val="99"/>
    <w:semiHidden/>
    <w:unhideWhenUsed/>
    <w:rsid w:val="00032982"/>
    <w:pPr>
      <w:spacing w:after="80" w:line="240" w:lineRule="auto"/>
    </w:p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Standard" w:type="paragraph">
    <w:name w:val="Standard"/>
    <w:rsid w:val="00765383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/>
    </w:rPr>
  </w:style>
  <w:style w:customStyle="1" w:styleId="Reetkatablice1" w:type="table">
    <w:name w:val="Rešetka tablice1"/>
    <w:basedOn w:val="Obinatablica"/>
    <w:next w:val="Reetkatablice"/>
    <w:uiPriority w:val="59"/>
    <w:rsid w:val="001A3DD7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" w:type="table">
    <w:name w:val="Rešetka tablice2"/>
    <w:basedOn w:val="Obinatablica"/>
    <w:next w:val="Reetkatablice"/>
    <w:uiPriority w:val="59"/>
    <w:rsid w:val="001A3DD7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09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St-91/2015-80</izvorni_sadrzaj>
    <derivirana_varijabla naziv="DomainObject.Oznaka_1">St-91/2015-80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OstaliListFormated_1"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OstaliListFormated>
  <DomainObject.Predmet.OstaliListFormatedOIB>
    <izvorni_sadrzaj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izvorni_sadrzaj>
    <derivirana_varijabla naziv="DomainObject.Predmet.OstaliListFormatedOIB_1"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derivirana_varijabla>
  </DomainObject.Predmet.OstaliListFormatedOIB>
  <DomainObject.Predmet.OstaliListFormatedWithAdress>
    <izvorni_sadrzaj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  <item>B2  KAPITAL d.o.o. za poslovne usluge, Radnička cesta 41, 10000 Zagreb</item>
    </izvorni_sadrzaj>
    <derivirana_varijabla naziv="DomainObject.Predmet.OstaliListFormatedWithAdress_1"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  <item>B2  KAPITAL d.o.o. za poslovne usluge, OIB 57509775367, Radnička cesta 41, 10000 Zagreb</item>
    </izvorni_sadrzaj>
    <derivirana_varijabla naziv="DomainObject.Predmet.OstaliListFormatedWithAdressOIB_1"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  <item>B2  KAPITAL d.o.o. za poslovne usluge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  <item>B2  KAPITAL d.o.o. za poslovne usluge, OIB 57509775367, Radnička cesta 41,10000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79564271060</item>
      <item>, OIB 75540711975</item>
      <item>, OIB 59559779068</item>
      <item>, OIB 76325867397</item>
      <item>, OIB null</item>
      <item>, OIB null</item>
      <item>, OIB 49218337993</item>
      <item>, OIB null</item>
      <item>, OIB null</item>
      <item>, OIB 05028319046</item>
      <item>, OIB null</item>
      <item>, OIB 04323472109</item>
      <item>, OIB 13667298928</item>
      <item>, OIB 57509775367</item>
    </izvorni_sadrzaj>
    <derivirana_varijabla naziv="DomainObject.Predmet.SudioniciListNazivOIB_1">
      <item>, OIB 79564271060</item>
      <item>, OIB 75540711975</item>
      <item>, OIB 59559779068</item>
      <item>, OIB 76325867397</item>
      <item>, OIB null</item>
      <item>, OIB null</item>
      <item>, OIB 49218337993</item>
      <item>, OIB null</item>
      <item>, OIB null</item>
      <item>, OIB 05028319046</item>
      <item>, OIB null</item>
      <item>, OIB 04323472109</item>
      <item>, OIB 13667298928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7BDD2-1766-4EF5-92E1-3E297B6C1D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386</properties:Words>
  <properties:Characters>2253</properties:Characters>
  <properties:Lines>57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2017-12-29T10:32:00Z</dcterms:created>
  <dc:creator>ADMINIBM</dc:creator>
  <cp:lastModifiedBy>Tatjana Rukelj</cp:lastModifiedBy>
  <cp:lastPrinted>2017-12-29T12:01:00Z</cp:lastPrinted>
  <dcterms:modified xmlns:xsi="http://www.w3.org/2001/XMLSchema-instance" xsi:type="dcterms:W3CDTF">2018-01-08T11:24:00Z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St-91/2015-80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