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a183" w14:paraId="a86a183" w:rsidRDefault="0060069B" w:rsidP="0060069B" w:rsidR="0060069B" w:rsidRPr="0060069B">
      <w:pPr>
        <w:spacing w:lineRule="auto" w:line="240" w:after="0"/>
        <w:jc w:val="both"/>
        <w15:collapsed w:val="false"/>
        <w:rPr>
          <w:rFonts w:cs="Times New Roman" w:eastAsia="Calibri" w:hAnsi="Times New Roman" w:ascii="Times New Roman"/>
          <w:sz w:val="24"/>
          <w:szCs w:val="24"/>
        </w:rPr>
      </w:pPr>
      <w:bookmarkStart w:name="_GoBack" w:id="0"/>
      <w:bookmarkEnd w:id="0"/>
    </w:p>
    <w:p w:rsidRDefault="007F00ED" w:rsidP="007F00ED" w:rsidR="007F00ED" w:rsidRPr="007F00ED">
      <w:pPr>
        <w:rPr>
          <w:rFonts w:cs="Times New Roman" w:eastAsia="Calibri" w:hAnsi="Calibri" w:ascii="Calibri"/>
        </w:rPr>
      </w:pPr>
      <w:r w:rsidRPr="007F00ED">
        <w:rPr>
          <w:rFonts w:cs="Times New Roman" w:eastAsia="Calibri" w:hAnsi="Calibri" w:ascii="Calibri"/>
        </w:rPr>
        <w:t xml:space="preserve">                                  </w:t>
      </w:r>
      <w:r w:rsidRPr="007F00ED">
        <w:rPr>
          <w:rFonts w:cs="Times New Roman" w:eastAsia="Calibri" w:hAnsi="Calibri" w:ascii="Calibri"/>
          <w:noProof/>
          <w:lang w:eastAsia="hr-HR"/>
        </w:rPr>
        <w:drawing>
          <wp:inline distR="0" distL="0" distB="0" distT="0">
            <wp:extent cy="723900" cx="577850"/>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2"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7F00ED" w:rsidP="007F00ED" w:rsidR="007F00ED" w:rsidRPr="007F00ED">
      <w:pPr>
        <w:spacing w:after="0"/>
        <w:rPr>
          <w:rFonts w:cs="Times New Roman" w:eastAsia="Calibri" w:hAnsi="Times New Roman" w:ascii="Times New Roman"/>
          <w:bCs/>
        </w:rPr>
      </w:pPr>
      <w:r w:rsidRPr="007F00ED">
        <w:rPr>
          <w:rFonts w:cs="Times New Roman" w:eastAsia="Calibri" w:hAnsi="Times New Roman" w:ascii="Times New Roman"/>
          <w:bCs/>
        </w:rPr>
        <w:t xml:space="preserve">                        REPUBLIKA HRVATSKA</w:t>
      </w:r>
    </w:p>
    <w:p w:rsidRDefault="007F00ED" w:rsidP="007F00ED" w:rsidR="007F00ED" w:rsidRPr="007F00ED">
      <w:pPr>
        <w:spacing w:after="0"/>
        <w:rPr>
          <w:rFonts w:cs="Times New Roman" w:eastAsia="Calibri" w:hAnsi="Times New Roman" w:ascii="Times New Roman"/>
          <w:bCs/>
        </w:rPr>
      </w:pPr>
      <w:r w:rsidRPr="007F00ED">
        <w:rPr>
          <w:rFonts w:cs="Times New Roman" w:eastAsia="Calibri" w:hAnsi="Times New Roman" w:ascii="Times New Roman"/>
          <w:bCs/>
        </w:rPr>
        <w:t>VISOKI TRGOVAČKI SUD REPUBLIKE  HRVATSKE</w:t>
      </w:r>
    </w:p>
    <w:p w:rsidRDefault="007F00ED" w:rsidP="007F00ED" w:rsidR="007F00ED" w:rsidRPr="007F00ED">
      <w:pPr>
        <w:spacing w:after="0"/>
        <w:rPr>
          <w:rFonts w:cs="Times New Roman" w:eastAsia="Calibri" w:hAnsi="Times New Roman" w:ascii="Times New Roman"/>
        </w:rPr>
      </w:pPr>
      <w:r w:rsidRPr="007F00ED">
        <w:rPr>
          <w:rFonts w:cs="Times New Roman" w:eastAsia="Calibri" w:hAnsi="Times New Roman" w:ascii="Times New Roman"/>
          <w:bCs/>
        </w:rPr>
        <w:t xml:space="preserve">                                    Z A G R E B</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R E P U B L I K A   H R V A T S K A</w:t>
      </w:r>
    </w:p>
    <w:p w:rsidRDefault="0060069B" w:rsidP="0060069B" w:rsidR="0060069B" w:rsidRPr="0060069B">
      <w:pPr>
        <w:spacing w:lineRule="auto" w:line="240" w:after="0"/>
        <w:jc w:val="center"/>
        <w:rPr>
          <w:rFonts w:cs="Times New Roman" w:eastAsia="Calibri" w:hAnsi="Times New Roman" w:ascii="Times New Roman"/>
          <w:sz w:val="24"/>
          <w:szCs w:val="24"/>
        </w:rPr>
      </w:pPr>
    </w:p>
    <w:p w:rsidRDefault="0060069B" w:rsidP="0060069B" w:rsidR="0060069B" w:rsidRPr="0060069B">
      <w:pPr>
        <w:spacing w:lineRule="auto" w:line="240" w:after="0"/>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R J E Š E NJ E</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Visoki trgovački sud Republike Hrvatske, u vijeću sastavljenom od sudaca Jagode Crnokrak, predsjednika vijeća, Božene Zajec, suca izvjestitelja i dr. sc. Jelene Čuveljak, člana vijeća, u stečajnom postupku nad dužnikom VRUĆI LED d.o.o., OIB 86069094931, Zagreb, Vukovarska 26/a, pokrenutom na prijedlog REPUBLIKA HRVATSKA, Ministarstvo financija, Porezna uprava, OIB 18683136487, kojeg zastupa Županijsko državno odvjetništvo u Zagrebu, odlučujući o žalbi DANIJELE ŠLJIVARIĆ, OIB 81626205988, zastupnika po zakonu dužnika, Zagreb, Vukovarska 26/a, protiv rješenja Trgovačkog suda u Zagrebu poslovni broj St-2390/2017-22 od 4. travnja 2018., u sjednici vijeća održanoj 23. svibnja 2018.</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r i j e š i o   j e</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Odbija se žalba Danijele Šljivarić kao neosnovana i potvrđuje rješenje Trgovačkog suda u Zagrebu poslovni broj St-2390/2017-22 od 4. travnja 2018., u točkama III. i IV. njegove izreke.</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Obrazloženje</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Rješenjem Trgovačkog suda u Zagrebu poslovni broj St-2390/2017-22 od 4. travnja 2018., u točki I. njegove izreke odbijen je prijedlog za otvaranje stečajnog postupka nad dužnikom Vrući led d.o.o., Zagreb. Ukinuta je mjera osiguranja određena rješenjem ovoga suda poslovni broj St-2390/17 od 19. prosinca 2017. kojim je dužniku postavljen privremeni stečajni upravitelj Tomislav Čoga, OIB 82870226709. iz Zagreba, Vranovinski odvojak 12.(točka II. izreke). Privremenom stečajnom upravitelju Tomislavu Čogi na ime nagrade za obavljanje poslova u prethodnom postupku određuje se iznos od 3.000,00 kn bruto (točka III. izreke).U točki IV. izreke nalaže se dužniku u roku 15 dana na depozitni račun ovoga suda HR92 2390 0011 3000 0046 0, poziv na broj: 2390-17, opis plaćanja: „troškovi prethodnog postupka St-2390/17“ uplatiti iznos od 3.000,00 kn, na ime naknade troškova prethodnog postupka, u protivnom će se oni prisilno naplatiti.</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Prvostupanjski sud je donio rješenje u skladu s odredbama čl. 109. st. 2., čl. 128. st. 9., čl. 119. st. 6. i čl. 94. st. 1. i 2. Stečajnog zakona („Narodne novine“ broj 71/15; dalje: SZ).</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7F00ED">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lastRenderedPageBreak/>
        <w:tab/>
      </w:r>
    </w:p>
    <w:p w:rsidRDefault="007F00ED" w:rsidP="0060069B" w:rsidR="007F00ED">
      <w:pPr>
        <w:spacing w:lineRule="auto" w:line="240" w:after="0"/>
        <w:jc w:val="both"/>
        <w:rPr>
          <w:rFonts w:cs="Times New Roman" w:eastAsia="Calibri" w:hAnsi="Times New Roman" w:ascii="Times New Roman"/>
          <w:sz w:val="24"/>
          <w:szCs w:val="24"/>
        </w:rPr>
      </w:pPr>
    </w:p>
    <w:p w:rsidRDefault="0060069B" w:rsidP="007F00ED" w:rsidR="0060069B" w:rsidRPr="0060069B">
      <w:pPr>
        <w:spacing w:lineRule="auto" w:line="240" w:after="0"/>
        <w:ind w:firstLine="708"/>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Protiv označenog rješenja žalbu je podnijela Danijela Šljivarić u kojoj navodi kako nema imovine, da nije dužna nagraditi stečajnog upravitelja jer ga nije tražila te da se radi o prevelikom iznosu. Predlaže rješenje ukinuti.</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Žalba nije osnovana.</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Ispitavši pobijano rješenje sukladno odredbama čl. 381. i čl. 365. st. 2. Zakona o parničnom postupku („Narodne novine“ broj: 53/91, 91/92, 112/99, 88/01, 117/03, 88/05, 2/07, 84/08, 123/08, 57/11, 25/13 i 89/14; dalje: ZPP) u vezi s čl. 10. SZ-a u granicama žalbenih razloga, pazeći po službenoj dužnosti na bitne povrede odredaba postupka iz čl. 354. st. 2. t. 2., 4., 8., 9., 11., 13. i 14. ZPP-a, kao i na pravilnu primjenu materijalnog prava, ovaj sud nalazi da je pobijano rješenje pravilno i osnovano na zakonu.</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Iz obrazloženja rješenja proizlazi da je na prijedlog Republike Hrvatske, kao vjerovnika, obustavljen skraćeni stečajni postupak nad dužnikom, pokrenut na prijedlog Financijske agencije, a koja je prijedlog podnijela po službenoj dužnosti sukladno čl. 110. st. 1. SZ-a, zbog evidentiranog duga u Očevidniku redoslijeda za plaćanje u iznosu od 39.209,06 kn, u neprekinutom razdoblju od 1224 dana, da je rješenjem suda poslovni broj St-2390/17 od 19. prosinca 2017. pokrenut prethodni postupak te je dužniku imenovan privremeni stečajni upravitelj, koji je u izvješću konstatirano da postoji dug dužnika prema predlagatelju, Republici Hrvatskoj, Poreznoj upravi, po osnovi javnih davanja u iznosu od 4.648,50 kn za ročište u prethodnom postupku, da je iz razloga što predlagatelj više nema tražbinu, niti aktivnu legitimaciju (čl. 109. st. 2. SZ-a), sud je na temelju čl. 128. st. 9. SZ-a odbio prijedlog za otvaranje stečajnog postupka, a dužnika je obvezao na snašanje troškova tog postupka na temelju čl. 128. st. 7. SZ-a.</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Člankom 128. st. 7. SZ-a propisano je da će u rješenju o odbijanju prijedloga za otvaranje stečajnog postupka sud odrediti tko je dužan naknaditi troškove postupka.</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Prema odredbi čl. 94. st. 1. SZ-a stečajni upravitelj ima pravo na nagradu za svoj rad i naknadu stvarnih troškova. Stavkom 2. tog članka SZ-a propisano je da nagradu stečajnom upravitelju rješenjem određuje sud prema uredbi kojom Vlada Republike Hrvatske utvrđuje kriterije i način obračuna plaćanja nagrade stečajnim upraviteljima, a koje odredbe se u smislu čl. 119. st. 6. SZ-a, primjenjuju na privremenog stečajnog upravitelja.</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Neosnovan je žalbeni navod žaliteljice da nije dužna nagraditi stečajnog upravitelja jer ga nije tražila. Naime, u predmetnom postupku rješenjem prvostupanjskog suda poslovni broj St-4035/2015-15 od 19. prosinca 2017. imenovan je privremeni stečajni upravitelj na temelju čl. 85. st. 1. SZ-a sukladno čl. 84. st. 1., sve u vezi s čl. 119. st. 6. SZ-a, budući da je rješenjem suda poslovni broj St-4035/2015 od 3. studenoga 2016. obustavljen je skraćeni stečajni postupak nad dužnikom, pokrenut na prijedlog Financijske agencije, jer nisu bile ispunjene pretpostavke za istodobno otvaranje i zaključenje toga postupka sukladno čl. 431. SZ-a, a postojao je stečajni razlog prema čl. 6. st. 2. SZ-a. Dakle, sud je na temelju navedenih zakonskih određenja postavio privremenog stečajnog upravitelja dužniku.</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 xml:space="preserve">Člankom 4. Uredbe o kriterijima i načinu obračuna i plaćanja nagrade stečajnim upraviteljima („Narodne novine“ broj 105/15; dalje: Uredba) propisano je da privremenom stečajnom upravitelju pripada pravo na jednokratnu nagradu za poslove obavljene u </w:t>
      </w:r>
      <w:r w:rsidRPr="0060069B">
        <w:rPr>
          <w:rFonts w:cs="Times New Roman" w:eastAsia="Calibri" w:hAnsi="Times New Roman" w:ascii="Times New Roman"/>
          <w:sz w:val="24"/>
          <w:szCs w:val="24"/>
        </w:rPr>
        <w:lastRenderedPageBreak/>
        <w:t>prethodnom postupku u iznosu od 3.000,00 kn do 20.000,00 kn (1). Nagradu privremenom stečajnom upravitelju određuje sud, vodeći računa o složenosti poslova koje je obavio (2).</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both"/>
        <w:rPr>
          <w:rFonts w:cs="Times New Roman" w:eastAsia="Calibri" w:hAnsi="Times New Roman" w:ascii="Times New Roman"/>
          <w:sz w:val="24"/>
          <w:szCs w:val="24"/>
        </w:rPr>
      </w:pPr>
      <w:r w:rsidRPr="0060069B">
        <w:rPr>
          <w:rFonts w:cs="Times New Roman" w:eastAsia="Calibri" w:hAnsi="Times New Roman" w:ascii="Times New Roman"/>
          <w:sz w:val="24"/>
          <w:szCs w:val="24"/>
        </w:rPr>
        <w:tab/>
        <w:t>Kako je pobijanim rješenjem, a prema izvješću te obrazloženju privremenog stečajnog upravitelja o poduzetim aktivnostima (od 1. ožujka 2018.) sud odredio privremenom stečajnom upravitelju nagradu sukladno čl. 4. u vezi s čl. 119. st. 6. i čl. 94. st. 1. i 2. SZ-a, u najmanjem propisanom iznosu, valjalo je prvostupanjsko rješenje u pobijanim točkama III. i IV. njegove izreke potvrditi prema odredbi čl. 380. t. 2. ZPP-a.</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Zagreb, 23. svibnja 2018.</w:t>
      </w:r>
    </w:p>
    <w:p w:rsidRDefault="0060069B" w:rsidP="0060069B" w:rsidR="0060069B" w:rsidRPr="0060069B">
      <w:pPr>
        <w:spacing w:lineRule="auto" w:line="240" w:after="0"/>
        <w:jc w:val="both"/>
        <w:rPr>
          <w:rFonts w:cs="Times New Roman" w:eastAsia="Calibri" w:hAnsi="Times New Roman" w:ascii="Times New Roman"/>
          <w:sz w:val="24"/>
          <w:szCs w:val="24"/>
        </w:rPr>
      </w:pPr>
    </w:p>
    <w:p w:rsidRDefault="0060069B" w:rsidP="0060069B" w:rsidR="0060069B" w:rsidRPr="0060069B">
      <w:pPr>
        <w:spacing w:lineRule="auto" w:line="240" w:after="0"/>
        <w:ind w:left="4536"/>
        <w:jc w:val="center"/>
        <w:rPr>
          <w:rFonts w:cs="Times New Roman" w:eastAsia="Calibri" w:hAnsi="Times New Roman" w:ascii="Times New Roman"/>
          <w:sz w:val="24"/>
          <w:szCs w:val="24"/>
        </w:rPr>
      </w:pPr>
      <w:r w:rsidRPr="0060069B">
        <w:rPr>
          <w:rFonts w:cs="Times New Roman" w:eastAsia="Calibri" w:hAnsi="Times New Roman" w:ascii="Times New Roman"/>
          <w:sz w:val="24"/>
          <w:szCs w:val="24"/>
        </w:rPr>
        <w:t>Predsjednik vijeća</w:t>
      </w:r>
    </w:p>
    <w:p w:rsidRDefault="0060069B" w:rsidP="0060069B" w:rsidR="0060069B" w:rsidRPr="0060069B">
      <w:pPr>
        <w:spacing w:lineRule="auto" w:line="240" w:after="240"/>
        <w:ind w:left="4536"/>
        <w:contextualSpacing/>
        <w:jc w:val="center"/>
        <w:rPr>
          <w:rFonts w:cs="Times New Roman" w:eastAsia="Times New Roman" w:hAnsi="Times New Roman" w:ascii="Times New Roman"/>
          <w:sz w:val="24"/>
          <w:szCs w:val="24"/>
          <w:lang w:eastAsia="hr-HR"/>
        </w:rPr>
      </w:pPr>
      <w:r w:rsidRPr="0060069B">
        <w:rPr>
          <w:rFonts w:cs="Times New Roman" w:eastAsia="Times New Roman" w:hAnsi="Times New Roman" w:ascii="Times New Roman"/>
          <w:sz w:val="24"/>
          <w:szCs w:val="24"/>
          <w:lang w:eastAsia="hr-HR"/>
        </w:rPr>
        <w:t>Jagoda Crnokrak, v. r.</w:t>
      </w:r>
    </w:p>
    <w:p w:rsidRDefault="0060069B" w:rsidP="0060069B" w:rsidR="0060069B" w:rsidRPr="0060069B">
      <w:pPr>
        <w:spacing w:lineRule="auto" w:line="240" w:after="240"/>
        <w:ind w:left="4536"/>
        <w:contextualSpacing/>
        <w:jc w:val="center"/>
        <w:rPr>
          <w:rFonts w:cs="Times New Roman" w:eastAsia="Times New Roman" w:hAnsi="Times New Roman" w:ascii="Times New Roman"/>
          <w:sz w:val="24"/>
          <w:szCs w:val="24"/>
          <w:lang w:eastAsia="hr-HR"/>
        </w:rPr>
      </w:pPr>
    </w:p>
    <w:p w:rsidRDefault="0060069B" w:rsidP="0060069B" w:rsidR="0060069B" w:rsidRPr="0060069B">
      <w:pPr>
        <w:spacing w:lineRule="auto" w:line="240" w:after="240"/>
        <w:ind w:left="4536"/>
        <w:contextualSpacing/>
        <w:jc w:val="center"/>
        <w:rPr>
          <w:rFonts w:cs="Times New Roman" w:eastAsia="Times New Roman" w:hAnsi="Times New Roman" w:ascii="Times New Roman"/>
          <w:sz w:val="24"/>
          <w:szCs w:val="24"/>
          <w:lang w:eastAsia="hr-HR"/>
        </w:rPr>
      </w:pPr>
      <w:r w:rsidRPr="0060069B">
        <w:rPr>
          <w:rFonts w:cs="Times New Roman" w:eastAsia="Times New Roman" w:hAnsi="Times New Roman" w:ascii="Times New Roman"/>
          <w:sz w:val="24"/>
          <w:szCs w:val="24"/>
          <w:lang w:eastAsia="hr-HR"/>
        </w:rPr>
        <w:t>Za točnost otpravka – ovlašteni službenik</w:t>
      </w:r>
    </w:p>
    <w:p w:rsidRDefault="0060069B" w:rsidP="0060069B" w:rsidR="0060069B" w:rsidRPr="0060069B">
      <w:pPr>
        <w:spacing w:lineRule="auto" w:line="240" w:after="240"/>
        <w:ind w:left="4536"/>
        <w:contextualSpacing/>
        <w:jc w:val="center"/>
        <w:rPr>
          <w:rFonts w:cs="Times New Roman" w:eastAsia="Times New Roman" w:hAnsi="Times New Roman" w:ascii="Times New Roman"/>
          <w:sz w:val="24"/>
          <w:szCs w:val="24"/>
          <w:lang w:eastAsia="hr-HR"/>
        </w:rPr>
      </w:pPr>
      <w:r w:rsidRPr="0060069B">
        <w:rPr>
          <w:rFonts w:cs="Times New Roman" w:eastAsia="Times New Roman" w:hAnsi="Times New Roman" w:ascii="Times New Roman"/>
          <w:sz w:val="24"/>
          <w:szCs w:val="24"/>
          <w:lang w:eastAsia="hr-HR"/>
        </w:rPr>
        <w:t>Brankica Curman</w:t>
      </w:r>
    </w:p>
    <w:p w:rsidRDefault="000104E4" w:rsidR="000104E4"/>
    <w:sectPr w:rsidR="000104E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0ED" w:rsidP="007F00ED" w:rsidR="007F00ED">
      <w:pPr>
        <w:spacing w:lineRule="auto" w:line="240" w:after="0"/>
      </w:pPr>
      <w:r>
        <w:separator/>
      </w:r>
    </w:p>
  </w:endnote>
  <w:endnote w:id="0" w:type="continuationSeparator">
    <w:p w:rsidRDefault="007F00ED" w:rsidP="007F00ED" w:rsidR="007F00E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335861"/>
      <w:docPartObj>
        <w:docPartGallery w:val="Page Numbers (Bottom of Page)"/>
        <w:docPartUnique/>
      </w:docPartObj>
    </w:sdtPr>
    <w:sdtEndPr/>
    <w:sdtContent>
      <w:p w:rsidRDefault="007F00ED" w:rsidR="007F00ED">
        <w:pPr>
          <w:pStyle w:val="Podnoje"/>
          <w:jc w:val="center"/>
        </w:pPr>
        <w:r>
          <w:fldChar w:fldCharType="begin"/>
        </w:r>
        <w:r>
          <w:instrText>PAGE   \* MERGEFORMAT</w:instrText>
        </w:r>
        <w:r>
          <w:fldChar w:fldCharType="separate"/>
        </w:r>
        <w:r w:rsidR="0031442F">
          <w:rPr>
            <w:noProof/>
          </w:rPr>
          <w:t>3</w:t>
        </w:r>
        <w:r>
          <w:fldChar w:fldCharType="end"/>
        </w:r>
      </w:p>
    </w:sdtContent>
  </w:sdt>
  <w:p w:rsidRDefault="007F00ED" w:rsidR="007F00E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0ED" w:rsidP="007F00ED" w:rsidR="007F00ED">
      <w:pPr>
        <w:spacing w:lineRule="auto" w:line="240" w:after="0"/>
      </w:pPr>
      <w:r>
        <w:separator/>
      </w:r>
    </w:p>
  </w:footnote>
  <w:footnote w:id="0" w:type="continuationSeparator">
    <w:p w:rsidRDefault="007F00ED" w:rsidP="007F00ED" w:rsidR="007F00E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0ED" w:rsidP="007F00ED" w:rsidR="007F00ED">
    <w:pPr>
      <w:pStyle w:val="Zaglavlje"/>
      <w:jc w:val="right"/>
    </w:pPr>
    <w:r>
      <w:t>6 Pž-3138/2018-2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69B"/>
    <w:rsid w:val="000104E4"/>
    <w:rsid w:val="0031442F"/>
    <w:rsid w:val="0060069B"/>
    <w:rsid w:val="007331B3"/>
    <w:rsid w:val="007F00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00E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F00ED"/>
  </w:style>
  <w:style w:styleId="Podnoje" w:type="paragraph">
    <w:name w:val="footer"/>
    <w:basedOn w:val="Normal"/>
    <w:link w:val="PodnojeChar"/>
    <w:uiPriority w:val="99"/>
    <w:unhideWhenUsed/>
    <w:rsid w:val="007F00E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F00ED"/>
  </w:style>
  <w:style w:styleId="Tekstrezerviranogmjesta" w:type="character">
    <w:name w:val="Placeholder Text"/>
    <w:basedOn w:val="Zadanifontodlomka"/>
    <w:uiPriority w:val="99"/>
    <w:semiHidden/>
    <w:rsid w:val="0031442F"/>
    <w:rPr>
      <w:color w:val="808080"/>
      <w:bdr w:space="0" w:sz="0" w:color="auto" w:val="none"/>
      <w:shd w:fill="auto" w:color="auto" w:val="clear"/>
    </w:rPr>
  </w:style>
  <w:style w:customStyle="true" w:styleId="eSPISCCParagraphDefaultFont" w:type="character">
    <w:name w:val="eSPIS_CC_Paragraph Default Font"/>
    <w:basedOn w:val="Zadanifontodlomka"/>
    <w:rsid w:val="0031442F"/>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442F"/>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442F"/>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442F"/>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00E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F00ED"/>
  </w:style>
  <w:style w:styleId="Podnoje" w:type="paragraph">
    <w:name w:val="footer"/>
    <w:basedOn w:val="Normal"/>
    <w:link w:val="PodnojeChar"/>
    <w:uiPriority w:val="99"/>
    <w:unhideWhenUsed/>
    <w:rsid w:val="007F00E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F00ED"/>
  </w:style>
  <w:style w:styleId="Tekstrezerviranogmjesta" w:type="character">
    <w:name w:val="Placeholder Text"/>
    <w:basedOn w:val="Zadanifontodlomka"/>
    <w:uiPriority w:val="99"/>
    <w:semiHidden/>
    <w:rsid w:val="0031442F"/>
    <w:rPr>
      <w:color w:val="808080"/>
      <w:bdr w:color="auto" w:space="0" w:sz="0" w:val="none"/>
      <w:shd w:color="auto" w:fill="auto" w:val="clear"/>
    </w:rPr>
  </w:style>
  <w:style w:customStyle="1" w:styleId="eSPISCCParagraphDefaultFont" w:type="character">
    <w:name w:val="eSPIS_CC_Paragraph Default Font"/>
    <w:basedOn w:val="Zadanifontodlomka"/>
    <w:rsid w:val="0031442F"/>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442F"/>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442F"/>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442F"/>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097956">
      <w:bodyDiv w:val="true"/>
      <w:marLeft w:val="0"/>
      <w:marRight w:val="0"/>
      <w:marTop w:val="0"/>
      <w:marBottom w:val="0"/>
      <w:divBdr>
        <w:top w:space="0" w:sz="0" w:color="auto" w:val="none"/>
        <w:left w:space="0" w:sz="0" w:color="auto" w:val="none"/>
        <w:bottom w:space="0" w:sz="0" w:color="auto" w:val="none"/>
        <w:right w:space="0" w:sz="0" w:color="auto" w:val="none"/>
      </w:divBdr>
    </w:div>
    <w:div w:id="10723885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5339</properties:Characters>
  <properties:Lines>112</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2018-06-13T06:29:00Z</dcterms:created>
  <dc:creator>Sonja Pilić</dc:creator>
  <cp:lastModifiedBy>Sonja Pilić</cp:lastModifiedBy>
  <dcterms:modified xmlns:xsi="http://www.w3.org/2001/XMLSchema-instance" xsi:type="dcterms:W3CDTF">2018-06-13T06:34:00Z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St-2390/2017-26 / Podnesak - Rješenje - odbijena žalba kao neosnovana - potvrđeno rješenje 1.st. (II ST. ODLUKA.docx)</vt:lpwstr>
  </prop:property>
  <prop:property name="CC_coloring" pid="4" fmtid="{D5CDD505-2E9C-101B-9397-08002B2CF9AE}">
    <vt:bool>false</vt:bool>
  </prop:property>
  <prop:property name="BrojStranica" pid="5" fmtid="{D5CDD505-2E9C-101B-9397-08002B2CF9AE}">
    <vt:i4>3</vt:i4>
  </prop:property>
</prop:Properties>
</file>