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ea191" w14:paraId="1cea191" w:rsidRDefault="00097CC0" w:rsidP="00F8588B" w:rsidR="00097CC0" w:rsidRPr="00F8588B">
      <w:pPr>
        <w:pStyle w:val="Bezproreda"/>
        <w:jc w:val="right"/>
        <w15:collapsed w:val="false"/>
        <w:rPr>
          <w:rFonts w:hAnsi="Times New Roman" w:ascii="Times New Roman"/>
          <w:sz w:val="24"/>
          <w:szCs w:val="24"/>
        </w:rPr>
      </w:pPr>
    </w:p>
    <w:p w:rsidRDefault="00F8588B" w:rsidP="0074522F" w:rsidR="00F8588B" w:rsidRPr="00F8588B">
      <w:pPr>
        <w:rPr>
          <w:rFonts w:hAnsi="Times New Roman" w:ascii="Times New Roman"/>
          <w:sz w:val="24"/>
          <w:szCs w:val="24"/>
        </w:rPr>
      </w:pPr>
      <w:r w:rsidRPr="00F8588B">
        <w:rPr>
          <w:rStyle w:val="Naglaeno"/>
          <w:rFonts w:hAnsi="Times New Roman" w:ascii="Times New Roman"/>
          <w:sz w:val="24"/>
          <w:szCs w:val="24"/>
        </w:rPr>
        <w:t xml:space="preserve">             </w:t>
      </w:r>
      <w:r w:rsidR="00E5438B">
        <w:rPr>
          <w:rFonts w:hAnsi="Times New Roman" w:ascii="Times New Roman"/>
          <w:b/>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8588B" w:rsidP="00F8588B" w:rsidR="00F8588B" w:rsidRPr="00F8588B">
      <w:pPr>
        <w:pStyle w:val="Bezproreda"/>
        <w:rPr>
          <w:rFonts w:hAnsi="Times New Roman" w:ascii="Times New Roman"/>
          <w:b/>
          <w:sz w:val="24"/>
          <w:szCs w:val="24"/>
        </w:rPr>
      </w:pPr>
      <w:r w:rsidRPr="00F8588B">
        <w:rPr>
          <w:rFonts w:hAnsi="Times New Roman" w:ascii="Times New Roman"/>
          <w:b/>
          <w:sz w:val="24"/>
          <w:szCs w:val="24"/>
        </w:rPr>
        <w:t xml:space="preserve">     REPUBLIKA HRVATSKA</w:t>
      </w:r>
    </w:p>
    <w:p w:rsidRDefault="00F8588B" w:rsidP="00F8588B" w:rsidR="00F8588B" w:rsidRPr="00F8588B">
      <w:pPr>
        <w:pStyle w:val="Bezproreda"/>
        <w:rPr>
          <w:rFonts w:hAnsi="Times New Roman" w:ascii="Times New Roman"/>
          <w:sz w:val="24"/>
          <w:szCs w:val="24"/>
        </w:rPr>
      </w:pPr>
      <w:r w:rsidRPr="00F8588B">
        <w:rPr>
          <w:rFonts w:hAnsi="Times New Roman" w:ascii="Times New Roman"/>
          <w:sz w:val="24"/>
          <w:szCs w:val="24"/>
        </w:rPr>
        <w:t xml:space="preserve">     TRGOVAČKI SUD U OSIJEKU</w:t>
      </w:r>
    </w:p>
    <w:p w:rsidRDefault="004A1FA5" w:rsidP="0074522F" w:rsidR="004A1FA5" w:rsidRPr="00F8588B">
      <w:pPr>
        <w:pStyle w:val="Bezproreda"/>
        <w:rPr>
          <w:rFonts w:hAnsi="Times New Roman" w:ascii="Times New Roman"/>
          <w:sz w:val="24"/>
          <w:szCs w:val="24"/>
        </w:rPr>
      </w:pPr>
    </w:p>
    <w:p w:rsidRDefault="00ED0F94" w:rsidP="00752475" w:rsidR="00ED0F94" w:rsidRPr="00F8588B">
      <w:pPr>
        <w:pStyle w:val="Bezproreda"/>
        <w:jc w:val="right"/>
        <w:rPr>
          <w:rFonts w:hAnsi="Times New Roman" w:ascii="Times New Roman"/>
          <w:sz w:val="24"/>
          <w:szCs w:val="24"/>
        </w:rPr>
      </w:pPr>
    </w:p>
    <w:p w:rsidRDefault="0081116B" w:rsidP="00ED0F94" w:rsidR="00ED0F94" w:rsidRPr="00F8588B">
      <w:pPr>
        <w:pStyle w:val="Bezproreda"/>
        <w:jc w:val="center"/>
        <w:rPr>
          <w:rFonts w:hAnsi="Times New Roman" w:ascii="Times New Roman"/>
          <w:sz w:val="24"/>
          <w:szCs w:val="24"/>
        </w:rPr>
      </w:pPr>
      <w:r w:rsidRPr="00F8588B">
        <w:rPr>
          <w:rFonts w:hAnsi="Times New Roman" w:ascii="Times New Roman"/>
          <w:sz w:val="24"/>
          <w:szCs w:val="24"/>
        </w:rPr>
        <w:t>U IME REPUBLIKE HRVATSKE</w:t>
      </w:r>
    </w:p>
    <w:p w:rsidRDefault="00404F3C" w:rsidP="00404F3C" w:rsidR="00404F3C" w:rsidRPr="00F8588B">
      <w:pPr>
        <w:pStyle w:val="Bezproreda"/>
        <w:rPr>
          <w:rFonts w:hAnsi="Times New Roman" w:ascii="Times New Roman"/>
          <w:sz w:val="24"/>
          <w:szCs w:val="24"/>
        </w:rPr>
      </w:pPr>
    </w:p>
    <w:p w:rsidRDefault="00366B2D" w:rsidP="00752475" w:rsidR="00404F3C" w:rsidRPr="00582FB8">
      <w:pPr>
        <w:pStyle w:val="Bezproreda"/>
        <w:jc w:val="center"/>
        <w:rPr>
          <w:rFonts w:hAnsi="Times New Roman" w:ascii="Times New Roman"/>
          <w:sz w:val="24"/>
          <w:szCs w:val="24"/>
        </w:rPr>
      </w:pPr>
      <w:r w:rsidRPr="00582FB8">
        <w:rPr>
          <w:rFonts w:hAnsi="Times New Roman" w:ascii="Times New Roman"/>
          <w:sz w:val="24"/>
          <w:szCs w:val="24"/>
        </w:rPr>
        <w:t>R J E Š E NJ E</w:t>
      </w:r>
    </w:p>
    <w:p w:rsidRDefault="00404F3C" w:rsidP="00404F3C" w:rsidR="00404F3C" w:rsidRPr="00834DB3">
      <w:pPr>
        <w:pStyle w:val="Bezproreda"/>
        <w:rPr>
          <w:rFonts w:hAnsi="Times New Roman" w:ascii="Times New Roman"/>
          <w:sz w:val="24"/>
          <w:szCs w:val="24"/>
        </w:rPr>
      </w:pPr>
    </w:p>
    <w:p w:rsidRDefault="00ED0F94" w:rsidP="00404F3C" w:rsidR="00ED0F94" w:rsidRPr="00834DB3">
      <w:pPr>
        <w:pStyle w:val="Bezproreda"/>
        <w:rPr>
          <w:rFonts w:hAnsi="Times New Roman" w:ascii="Times New Roman"/>
          <w:sz w:val="24"/>
          <w:szCs w:val="24"/>
        </w:rPr>
      </w:pPr>
    </w:p>
    <w:p w:rsidRDefault="00404F3C" w:rsidP="00985F74" w:rsidR="00404F3C" w:rsidRPr="00834DB3">
      <w:pPr>
        <w:pStyle w:val="Bezproreda"/>
        <w:ind w:firstLine="708"/>
        <w:jc w:val="both"/>
        <w:rPr>
          <w:rStyle w:val="tabletextfield"/>
          <w:rFonts w:hAnsi="Times New Roman" w:ascii="Times New Roman"/>
          <w:sz w:val="24"/>
          <w:szCs w:val="24"/>
        </w:rPr>
      </w:pPr>
      <w:r w:rsidRPr="00834DB3">
        <w:rPr>
          <w:rFonts w:hAnsi="Times New Roman" w:ascii="Times New Roman"/>
          <w:sz w:val="24"/>
          <w:szCs w:val="24"/>
        </w:rPr>
        <w:t>Trgovački sud u Osijeku, po stečajno</w:t>
      </w:r>
      <w:r w:rsidR="002E2590" w:rsidRPr="00834DB3">
        <w:rPr>
          <w:rFonts w:hAnsi="Times New Roman" w:ascii="Times New Roman"/>
          <w:sz w:val="24"/>
          <w:szCs w:val="24"/>
        </w:rPr>
        <w:t>j</w:t>
      </w:r>
      <w:r w:rsidRPr="00834DB3">
        <w:rPr>
          <w:rFonts w:hAnsi="Times New Roman" w:ascii="Times New Roman"/>
          <w:sz w:val="24"/>
          <w:szCs w:val="24"/>
        </w:rPr>
        <w:t xml:space="preserve"> su</w:t>
      </w:r>
      <w:r w:rsidR="002E2590" w:rsidRPr="00834DB3">
        <w:rPr>
          <w:rFonts w:hAnsi="Times New Roman" w:ascii="Times New Roman"/>
          <w:sz w:val="24"/>
          <w:szCs w:val="24"/>
        </w:rPr>
        <w:t xml:space="preserve">tkinji </w:t>
      </w:r>
      <w:r w:rsidR="00F3298B" w:rsidRPr="00834DB3">
        <w:rPr>
          <w:rFonts w:hAnsi="Times New Roman" w:ascii="Times New Roman"/>
          <w:sz w:val="24"/>
          <w:szCs w:val="24"/>
        </w:rPr>
        <w:t>Nadi Roso</w:t>
      </w:r>
      <w:r w:rsidRPr="00834DB3">
        <w:rPr>
          <w:rFonts w:hAnsi="Times New Roman" w:ascii="Times New Roman"/>
          <w:sz w:val="24"/>
          <w:szCs w:val="24"/>
        </w:rPr>
        <w:t xml:space="preserve">, u stečajnom </w:t>
      </w:r>
      <w:r w:rsidR="00366B2D" w:rsidRPr="00834DB3">
        <w:rPr>
          <w:rFonts w:hAnsi="Times New Roman" w:ascii="Times New Roman"/>
          <w:sz w:val="24"/>
          <w:szCs w:val="24"/>
        </w:rPr>
        <w:t>postupku nad dužnikom</w:t>
      </w:r>
      <w:r w:rsidRPr="00834DB3">
        <w:rPr>
          <w:rFonts w:hAnsi="Times New Roman" w:ascii="Times New Roman"/>
          <w:sz w:val="24"/>
          <w:szCs w:val="24"/>
        </w:rPr>
        <w:t xml:space="preserve"> </w:t>
      </w:r>
      <w:r w:rsidR="00834DB3" w:rsidRPr="00834DB3">
        <w:rPr>
          <w:rFonts w:hAnsi="Times New Roman" w:ascii="Times New Roman"/>
          <w:b/>
          <w:sz w:val="24"/>
          <w:szCs w:val="24"/>
        </w:rPr>
        <w:t>H.I. d.o.o. „u stečaju“ OSIJEK, K. A. Stepinca 15  MBS 030005439 OIB 29528304474</w:t>
      </w:r>
      <w:r w:rsidR="008F78B3" w:rsidRPr="00834DB3">
        <w:rPr>
          <w:rFonts w:hAnsi="Times New Roman" w:ascii="Times New Roman"/>
          <w:b/>
          <w:sz w:val="24"/>
          <w:szCs w:val="24"/>
        </w:rPr>
        <w:t>,</w:t>
      </w:r>
      <w:r w:rsidR="004375CF" w:rsidRPr="00834DB3">
        <w:rPr>
          <w:rFonts w:hAnsi="Times New Roman" w:ascii="Times New Roman"/>
          <w:b/>
          <w:sz w:val="24"/>
          <w:szCs w:val="24"/>
        </w:rPr>
        <w:t xml:space="preserve"> </w:t>
      </w:r>
      <w:r w:rsidRPr="00834DB3">
        <w:rPr>
          <w:rStyle w:val="tabletextfield"/>
          <w:rFonts w:hAnsi="Times New Roman" w:ascii="Times New Roman"/>
          <w:sz w:val="24"/>
          <w:szCs w:val="24"/>
        </w:rPr>
        <w:t xml:space="preserve">dana </w:t>
      </w:r>
      <w:r w:rsidR="00582FB8" w:rsidRPr="00834DB3">
        <w:rPr>
          <w:rStyle w:val="tabletextfield"/>
          <w:rFonts w:hAnsi="Times New Roman" w:ascii="Times New Roman"/>
          <w:sz w:val="24"/>
          <w:szCs w:val="24"/>
        </w:rPr>
        <w:t>24. veljače</w:t>
      </w:r>
      <w:r w:rsidR="00AC176B" w:rsidRPr="00834DB3">
        <w:rPr>
          <w:rStyle w:val="tabletextfield"/>
          <w:rFonts w:hAnsi="Times New Roman" w:ascii="Times New Roman"/>
          <w:sz w:val="24"/>
          <w:szCs w:val="24"/>
        </w:rPr>
        <w:t xml:space="preserve"> 2017. g.</w:t>
      </w:r>
    </w:p>
    <w:p w:rsidRDefault="00B834B5" w:rsidP="00752475" w:rsidR="00B834B5" w:rsidRPr="00834DB3">
      <w:pPr>
        <w:pStyle w:val="Bezproreda"/>
        <w:jc w:val="center"/>
        <w:rPr>
          <w:rStyle w:val="tabletextfield"/>
          <w:rFonts w:hAnsi="Times New Roman" w:ascii="Times New Roman"/>
          <w:sz w:val="24"/>
          <w:szCs w:val="24"/>
        </w:rPr>
      </w:pPr>
    </w:p>
    <w:p w:rsidRDefault="0095694F" w:rsidP="00752475" w:rsidR="0095694F" w:rsidRPr="00834DB3">
      <w:pPr>
        <w:pStyle w:val="Bezproreda"/>
        <w:jc w:val="center"/>
        <w:rPr>
          <w:rStyle w:val="tabletextfield"/>
          <w:rFonts w:hAnsi="Times New Roman" w:ascii="Times New Roman"/>
          <w:sz w:val="24"/>
          <w:szCs w:val="24"/>
        </w:rPr>
      </w:pPr>
    </w:p>
    <w:p w:rsidRDefault="00366B2D" w:rsidP="00752475" w:rsidR="00404F3C" w:rsidRPr="00834DB3">
      <w:pPr>
        <w:pStyle w:val="Bezproreda"/>
        <w:jc w:val="center"/>
        <w:rPr>
          <w:rStyle w:val="tabletextfield"/>
          <w:rFonts w:hAnsi="Times New Roman" w:ascii="Times New Roman"/>
          <w:sz w:val="24"/>
          <w:szCs w:val="24"/>
        </w:rPr>
      </w:pPr>
      <w:r w:rsidRPr="00834DB3">
        <w:rPr>
          <w:rStyle w:val="tabletextfield"/>
          <w:rFonts w:hAnsi="Times New Roman" w:ascii="Times New Roman"/>
          <w:sz w:val="24"/>
          <w:szCs w:val="24"/>
        </w:rPr>
        <w:t>r i j e š i o</w:t>
      </w:r>
      <w:r w:rsidR="00065080" w:rsidRPr="00834DB3">
        <w:rPr>
          <w:rStyle w:val="tabletextfield"/>
          <w:rFonts w:hAnsi="Times New Roman" w:ascii="Times New Roman"/>
          <w:sz w:val="24"/>
          <w:szCs w:val="24"/>
        </w:rPr>
        <w:t xml:space="preserve"> </w:t>
      </w:r>
      <w:r w:rsidR="003C1C2B" w:rsidRPr="00834DB3">
        <w:rPr>
          <w:rStyle w:val="tabletextfield"/>
          <w:rFonts w:hAnsi="Times New Roman" w:ascii="Times New Roman"/>
          <w:sz w:val="24"/>
          <w:szCs w:val="24"/>
        </w:rPr>
        <w:t xml:space="preserve"> </w:t>
      </w:r>
      <w:r w:rsidR="00404F3C" w:rsidRPr="00834DB3">
        <w:rPr>
          <w:rStyle w:val="tabletextfield"/>
          <w:rFonts w:hAnsi="Times New Roman" w:ascii="Times New Roman"/>
          <w:sz w:val="24"/>
          <w:szCs w:val="24"/>
        </w:rPr>
        <w:t xml:space="preserve">  je</w:t>
      </w:r>
    </w:p>
    <w:p w:rsidRDefault="00ED0F94" w:rsidP="00752475" w:rsidR="00ED0F94" w:rsidRPr="00834DB3">
      <w:pPr>
        <w:pStyle w:val="Bezproreda"/>
        <w:jc w:val="center"/>
        <w:rPr>
          <w:rStyle w:val="tabletextfield"/>
          <w:rFonts w:hAnsi="Times New Roman" w:ascii="Times New Roman"/>
          <w:sz w:val="24"/>
          <w:szCs w:val="24"/>
        </w:rPr>
      </w:pPr>
    </w:p>
    <w:p w:rsidRDefault="00573829" w:rsidP="00752475" w:rsidR="00573829" w:rsidRPr="00834DB3">
      <w:pPr>
        <w:pStyle w:val="Bezproreda"/>
        <w:jc w:val="center"/>
        <w:rPr>
          <w:rStyle w:val="tabletextfield"/>
          <w:rFonts w:hAnsi="Times New Roman" w:ascii="Times New Roman"/>
          <w:sz w:val="24"/>
          <w:szCs w:val="24"/>
        </w:rPr>
      </w:pPr>
    </w:p>
    <w:p w:rsidRDefault="00366B2D" w:rsidP="007C72F7" w:rsidR="007C72F7" w:rsidRPr="003E273F">
      <w:pPr>
        <w:pStyle w:val="Bezproreda"/>
        <w:numPr>
          <w:ilvl w:val="0"/>
          <w:numId w:val="1"/>
        </w:numPr>
        <w:jc w:val="both"/>
        <w:rPr>
          <w:rFonts w:hAnsi="Times New Roman" w:ascii="Times New Roman"/>
          <w:sz w:val="24"/>
          <w:szCs w:val="24"/>
        </w:rPr>
      </w:pPr>
      <w:r w:rsidRPr="00834DB3">
        <w:rPr>
          <w:rFonts w:hAnsi="Times New Roman" w:ascii="Times New Roman"/>
          <w:sz w:val="24"/>
          <w:szCs w:val="24"/>
        </w:rPr>
        <w:t>ZAKLJUČUJE</w:t>
      </w:r>
      <w:r w:rsidR="00273331" w:rsidRPr="00834DB3">
        <w:rPr>
          <w:rFonts w:hAnsi="Times New Roman" w:ascii="Times New Roman"/>
          <w:sz w:val="24"/>
          <w:szCs w:val="24"/>
        </w:rPr>
        <w:t xml:space="preserve"> SE</w:t>
      </w:r>
      <w:r w:rsidRPr="00834DB3">
        <w:rPr>
          <w:rFonts w:hAnsi="Times New Roman" w:ascii="Times New Roman"/>
          <w:sz w:val="24"/>
          <w:szCs w:val="24"/>
        </w:rPr>
        <w:t xml:space="preserve"> stečajni postupak nad dužnikom </w:t>
      </w:r>
      <w:r w:rsidR="00834DB3" w:rsidRPr="00834DB3">
        <w:rPr>
          <w:rFonts w:hAnsi="Times New Roman" w:ascii="Times New Roman"/>
          <w:b/>
          <w:sz w:val="24"/>
          <w:szCs w:val="24"/>
        </w:rPr>
        <w:t xml:space="preserve">H.I. d.o.o. „u stečaju“ </w:t>
      </w:r>
      <w:r w:rsidR="00834DB3" w:rsidRPr="003E273F">
        <w:rPr>
          <w:rFonts w:hAnsi="Times New Roman" w:ascii="Times New Roman"/>
          <w:b/>
          <w:sz w:val="24"/>
          <w:szCs w:val="24"/>
        </w:rPr>
        <w:t>OSIJEK, K. A. Stepinca 15  MBS 030005439 OIB 29528304474</w:t>
      </w:r>
      <w:r w:rsidRPr="003E273F">
        <w:rPr>
          <w:rFonts w:hAnsi="Times New Roman" w:ascii="Times New Roman"/>
          <w:sz w:val="24"/>
          <w:szCs w:val="24"/>
        </w:rPr>
        <w:t>.</w:t>
      </w:r>
    </w:p>
    <w:p w:rsidRDefault="00366B2D" w:rsidP="007C72F7" w:rsidR="007C72F7" w:rsidRPr="003E273F">
      <w:pPr>
        <w:pStyle w:val="Bezproreda"/>
        <w:numPr>
          <w:ilvl w:val="0"/>
          <w:numId w:val="1"/>
        </w:numPr>
        <w:jc w:val="both"/>
        <w:rPr>
          <w:rFonts w:hAnsi="Times New Roman" w:ascii="Times New Roman"/>
          <w:sz w:val="24"/>
          <w:szCs w:val="24"/>
        </w:rPr>
      </w:pPr>
      <w:r w:rsidRPr="003E273F">
        <w:rPr>
          <w:rFonts w:hAnsi="Times New Roman" w:ascii="Times New Roman"/>
          <w:sz w:val="24"/>
          <w:szCs w:val="24"/>
        </w:rPr>
        <w:t xml:space="preserve">Ovo rješenje objavit će se na </w:t>
      </w:r>
      <w:r w:rsidR="00097CC0" w:rsidRPr="003E273F">
        <w:rPr>
          <w:rFonts w:hAnsi="Times New Roman" w:ascii="Times New Roman"/>
          <w:sz w:val="24"/>
          <w:szCs w:val="24"/>
        </w:rPr>
        <w:t>e-</w:t>
      </w:r>
      <w:r w:rsidRPr="003E273F">
        <w:rPr>
          <w:rFonts w:hAnsi="Times New Roman" w:ascii="Times New Roman"/>
          <w:sz w:val="24"/>
          <w:szCs w:val="24"/>
        </w:rPr>
        <w:t>oglasnoj ploči suda</w:t>
      </w:r>
      <w:r w:rsidR="009B5376" w:rsidRPr="003E273F">
        <w:rPr>
          <w:rFonts w:hAnsi="Times New Roman" w:ascii="Times New Roman"/>
          <w:sz w:val="24"/>
          <w:szCs w:val="24"/>
        </w:rPr>
        <w:t xml:space="preserve"> Trgovačkog suda u Osijeku</w:t>
      </w:r>
      <w:r w:rsidRPr="003E273F">
        <w:rPr>
          <w:rFonts w:hAnsi="Times New Roman" w:ascii="Times New Roman"/>
          <w:sz w:val="24"/>
          <w:szCs w:val="24"/>
        </w:rPr>
        <w:t>.</w:t>
      </w:r>
    </w:p>
    <w:p w:rsidRDefault="003E273F" w:rsidP="003E273F" w:rsidR="003E273F" w:rsidRPr="003E273F">
      <w:pPr>
        <w:numPr>
          <w:ilvl w:val="0"/>
          <w:numId w:val="1"/>
        </w:numPr>
        <w:spacing w:lineRule="auto" w:line="240" w:after="0"/>
        <w:jc w:val="both"/>
        <w:rPr>
          <w:rFonts w:hAnsi="Times New Roman" w:ascii="Times New Roman"/>
          <w:sz w:val="24"/>
          <w:szCs w:val="24"/>
        </w:rPr>
      </w:pPr>
      <w:r w:rsidRPr="003E273F">
        <w:rPr>
          <w:rFonts w:hAnsi="Times New Roman" w:ascii="Times New Roman"/>
          <w:sz w:val="24"/>
          <w:szCs w:val="24"/>
        </w:rPr>
        <w:t>Obvezuje se stečajna upraviteljica da završi sve poslove vezane za uredno zaključenje stečajnog postupka kao što su zatvaranje žiro računa stečajnog dužnika, izrada završnih izvješća te o tome podnijeti izvješće stečajnoj sutkinji, podmirenje preostalih troškova stečajnog postupka – pristojba, te da dostavi u spis Zapisnik o arhiviranju poslovne dokumentacije dužnika.</w:t>
      </w:r>
    </w:p>
    <w:p w:rsidRDefault="003E273F" w:rsidP="003E273F" w:rsidR="003E273F" w:rsidRPr="003E273F">
      <w:pPr>
        <w:numPr>
          <w:ilvl w:val="0"/>
          <w:numId w:val="1"/>
        </w:numPr>
        <w:spacing w:lineRule="auto" w:line="240" w:after="0"/>
        <w:jc w:val="both"/>
        <w:rPr>
          <w:rFonts w:hAnsi="Times New Roman" w:ascii="Times New Roman"/>
          <w:sz w:val="24"/>
          <w:szCs w:val="24"/>
        </w:rPr>
      </w:pPr>
      <w:r w:rsidRPr="003E273F">
        <w:rPr>
          <w:rFonts w:hAnsi="Times New Roman" w:ascii="Times New Roman"/>
          <w:sz w:val="24"/>
          <w:szCs w:val="24"/>
        </w:rPr>
        <w:t xml:space="preserve">Daje se suglasnost st. upraviteljici da namiri vjerovnike I višeg isplatnog reda prema prijedlogu završne diobe te o tome izvijesti stečajnu sutkinju. </w:t>
      </w:r>
    </w:p>
    <w:p w:rsidRDefault="00366B2D" w:rsidP="00A406C9" w:rsidR="00366B2D" w:rsidRPr="003E273F">
      <w:pPr>
        <w:pStyle w:val="Bezproreda"/>
        <w:numPr>
          <w:ilvl w:val="0"/>
          <w:numId w:val="1"/>
        </w:numPr>
        <w:jc w:val="both"/>
        <w:rPr>
          <w:rFonts w:hAnsi="Times New Roman" w:ascii="Times New Roman"/>
          <w:sz w:val="24"/>
          <w:szCs w:val="24"/>
        </w:rPr>
      </w:pPr>
      <w:r w:rsidRPr="003E273F">
        <w:rPr>
          <w:rFonts w:hAnsi="Times New Roman" w:ascii="Times New Roman"/>
          <w:sz w:val="24"/>
          <w:szCs w:val="24"/>
        </w:rPr>
        <w:t xml:space="preserve">Nakon pravomoćnosti, rješenje će se dostaviti </w:t>
      </w:r>
      <w:r w:rsidR="0095694F" w:rsidRPr="003E273F">
        <w:rPr>
          <w:rFonts w:hAnsi="Times New Roman" w:ascii="Times New Roman"/>
          <w:sz w:val="24"/>
          <w:szCs w:val="24"/>
        </w:rPr>
        <w:t>registru pravnih osoba Trgovačkog suda u Osijeku</w:t>
      </w:r>
      <w:r w:rsidRPr="003E273F">
        <w:rPr>
          <w:rFonts w:hAnsi="Times New Roman" w:ascii="Times New Roman"/>
          <w:sz w:val="24"/>
          <w:szCs w:val="24"/>
        </w:rPr>
        <w:t xml:space="preserve">, radi upisa brisanja </w:t>
      </w:r>
      <w:r w:rsidR="004C178A" w:rsidRPr="003E273F">
        <w:rPr>
          <w:rFonts w:hAnsi="Times New Roman" w:ascii="Times New Roman"/>
          <w:sz w:val="24"/>
          <w:szCs w:val="24"/>
        </w:rPr>
        <w:t xml:space="preserve">iz registra </w:t>
      </w:r>
      <w:r w:rsidR="0095694F" w:rsidRPr="003E273F">
        <w:rPr>
          <w:rFonts w:hAnsi="Times New Roman" w:ascii="Times New Roman"/>
          <w:sz w:val="24"/>
          <w:szCs w:val="24"/>
        </w:rPr>
        <w:t>pravnih osoba</w:t>
      </w:r>
      <w:r w:rsidR="004C178A" w:rsidRPr="003E273F">
        <w:rPr>
          <w:rFonts w:hAnsi="Times New Roman" w:ascii="Times New Roman"/>
          <w:sz w:val="24"/>
          <w:szCs w:val="24"/>
        </w:rPr>
        <w:t>.</w:t>
      </w:r>
    </w:p>
    <w:p w:rsidRDefault="0041605D" w:rsidP="00C316F8" w:rsidR="0041605D" w:rsidRPr="003E273F">
      <w:pPr>
        <w:pStyle w:val="Bezproreda"/>
        <w:jc w:val="both"/>
        <w:rPr>
          <w:rFonts w:hAnsi="Times New Roman" w:ascii="Times New Roman"/>
          <w:sz w:val="24"/>
          <w:szCs w:val="24"/>
        </w:rPr>
      </w:pPr>
    </w:p>
    <w:p w:rsidRDefault="002C1423" w:rsidP="00A875E2" w:rsidR="002C1423">
      <w:pPr>
        <w:pStyle w:val="Bezproreda"/>
        <w:rPr>
          <w:rFonts w:hAnsi="Times New Roman" w:ascii="Times New Roman"/>
          <w:b/>
          <w:sz w:val="24"/>
          <w:szCs w:val="24"/>
        </w:rPr>
      </w:pPr>
    </w:p>
    <w:p w:rsidRDefault="002C41A8" w:rsidP="002C41A8" w:rsidR="004C178A" w:rsidRPr="002C41A8">
      <w:pPr>
        <w:pStyle w:val="Bezproreda"/>
        <w:jc w:val="center"/>
        <w:rPr>
          <w:rFonts w:hAnsi="Times New Roman" w:ascii="Times New Roman"/>
          <w:b/>
          <w:sz w:val="24"/>
          <w:szCs w:val="24"/>
        </w:rPr>
      </w:pPr>
      <w:r>
        <w:rPr>
          <w:rFonts w:hAnsi="Times New Roman" w:ascii="Times New Roman"/>
          <w:b/>
          <w:sz w:val="24"/>
          <w:szCs w:val="24"/>
        </w:rPr>
        <w:t>Obrazloženje</w:t>
      </w:r>
    </w:p>
    <w:p w:rsidRDefault="000F43C9" w:rsidP="00C316F8" w:rsidR="000F43C9">
      <w:pPr>
        <w:pStyle w:val="Bezproreda"/>
        <w:jc w:val="both"/>
        <w:rPr>
          <w:rFonts w:hAnsi="Times New Roman" w:ascii="Times New Roman"/>
          <w:sz w:val="24"/>
          <w:szCs w:val="24"/>
        </w:rPr>
      </w:pPr>
    </w:p>
    <w:p w:rsidRDefault="00F31677" w:rsidP="008F78B3" w:rsidR="008F78B3" w:rsidRPr="004375CF">
      <w:pPr>
        <w:pStyle w:val="Bezproreda"/>
        <w:ind w:firstLine="708"/>
        <w:jc w:val="both"/>
        <w:rPr>
          <w:rFonts w:hAnsi="Times New Roman" w:ascii="Times New Roman"/>
          <w:sz w:val="24"/>
          <w:szCs w:val="24"/>
        </w:rPr>
      </w:pPr>
      <w:r w:rsidRPr="0074522F">
        <w:rPr>
          <w:rFonts w:hAnsi="Times New Roman" w:ascii="Times New Roman"/>
          <w:sz w:val="24"/>
          <w:szCs w:val="24"/>
        </w:rPr>
        <w:t>Pravomoćnim rješenjem Trgovačkog suda u Osijeku broj S</w:t>
      </w:r>
      <w:r w:rsidR="00F8588B" w:rsidRPr="0074522F">
        <w:rPr>
          <w:rFonts w:hAnsi="Times New Roman" w:ascii="Times New Roman"/>
          <w:sz w:val="24"/>
          <w:szCs w:val="24"/>
        </w:rPr>
        <w:t>t-</w:t>
      </w:r>
      <w:r w:rsidR="00834DB3">
        <w:rPr>
          <w:rFonts w:hAnsi="Times New Roman" w:ascii="Times New Roman"/>
          <w:sz w:val="24"/>
          <w:szCs w:val="24"/>
        </w:rPr>
        <w:t>368/14</w:t>
      </w:r>
      <w:r w:rsidR="007B6948">
        <w:rPr>
          <w:rFonts w:hAnsi="Times New Roman" w:ascii="Times New Roman"/>
          <w:sz w:val="24"/>
          <w:szCs w:val="24"/>
        </w:rPr>
        <w:t xml:space="preserve"> od </w:t>
      </w:r>
      <w:r w:rsidR="00834DB3">
        <w:rPr>
          <w:rFonts w:hAnsi="Times New Roman" w:ascii="Times New Roman"/>
          <w:sz w:val="24"/>
          <w:szCs w:val="24"/>
        </w:rPr>
        <w:t>10. ožujka 2015. g. otvo</w:t>
      </w:r>
      <w:r w:rsidRPr="0074522F">
        <w:rPr>
          <w:rFonts w:hAnsi="Times New Roman" w:ascii="Times New Roman"/>
          <w:sz w:val="24"/>
          <w:szCs w:val="24"/>
        </w:rPr>
        <w:t>ren je stečajni postupak nad</w:t>
      </w:r>
      <w:r w:rsidR="00FE5EB6" w:rsidRPr="0074522F">
        <w:rPr>
          <w:rFonts w:hAnsi="Times New Roman" w:ascii="Times New Roman"/>
          <w:sz w:val="24"/>
          <w:szCs w:val="24"/>
        </w:rPr>
        <w:t xml:space="preserve"> dužnikom</w:t>
      </w:r>
      <w:r w:rsidRPr="0074522F">
        <w:rPr>
          <w:rFonts w:hAnsi="Times New Roman" w:ascii="Times New Roman"/>
          <w:sz w:val="24"/>
          <w:szCs w:val="24"/>
        </w:rPr>
        <w:t xml:space="preserve"> </w:t>
      </w:r>
      <w:r w:rsidR="00834DB3" w:rsidRPr="00834DB3">
        <w:rPr>
          <w:rFonts w:hAnsi="Times New Roman" w:ascii="Times New Roman"/>
          <w:b/>
          <w:sz w:val="24"/>
          <w:szCs w:val="24"/>
        </w:rPr>
        <w:t>H.I. d.o.o. „u stečaju“ OSIJEK, K. A. Stepinca 15  MBS 030005439 OIB 29528304474</w:t>
      </w:r>
      <w:r w:rsidR="008F78B3" w:rsidRPr="004375CF">
        <w:rPr>
          <w:rFonts w:hAnsi="Times New Roman" w:ascii="Times New Roman"/>
          <w:sz w:val="24"/>
          <w:szCs w:val="24"/>
        </w:rPr>
        <w:t>.</w:t>
      </w:r>
    </w:p>
    <w:p w:rsidRDefault="0041605D" w:rsidP="004375CF" w:rsidR="00273331" w:rsidRPr="004375CF">
      <w:pPr>
        <w:pStyle w:val="Bezproreda"/>
        <w:ind w:firstLine="708"/>
        <w:jc w:val="both"/>
        <w:rPr>
          <w:rFonts w:hAnsi="Times New Roman" w:ascii="Times New Roman"/>
          <w:b/>
          <w:sz w:val="24"/>
          <w:szCs w:val="24"/>
        </w:rPr>
      </w:pPr>
      <w:r>
        <w:rPr>
          <w:rFonts w:hAnsi="Times New Roman" w:ascii="Times New Roman"/>
          <w:b/>
          <w:sz w:val="24"/>
          <w:szCs w:val="24"/>
        </w:rPr>
        <w:tab/>
      </w:r>
    </w:p>
    <w:p w:rsidRDefault="0097707D" w:rsidP="00273331" w:rsidR="007833E9">
      <w:pPr>
        <w:pStyle w:val="Bezproreda"/>
        <w:ind w:firstLine="708"/>
        <w:jc w:val="both"/>
        <w:rPr>
          <w:rFonts w:hAnsi="Times New Roman" w:ascii="Times New Roman"/>
          <w:sz w:val="24"/>
          <w:szCs w:val="24"/>
        </w:rPr>
      </w:pPr>
      <w:r w:rsidRPr="0074522F">
        <w:rPr>
          <w:rFonts w:hAnsi="Times New Roman" w:ascii="Times New Roman"/>
          <w:sz w:val="24"/>
          <w:szCs w:val="24"/>
        </w:rPr>
        <w:t xml:space="preserve">Poziv za završno ročište objavljen je </w:t>
      </w:r>
      <w:r w:rsidR="00097CC0">
        <w:rPr>
          <w:rFonts w:hAnsi="Times New Roman" w:ascii="Times New Roman"/>
          <w:sz w:val="24"/>
          <w:szCs w:val="24"/>
        </w:rPr>
        <w:t xml:space="preserve">na e-oglasnoj ploči Trgovačkog suda u Osijeku dana </w:t>
      </w:r>
      <w:r w:rsidR="00834DB3">
        <w:rPr>
          <w:rFonts w:hAnsi="Times New Roman" w:ascii="Times New Roman"/>
          <w:sz w:val="24"/>
          <w:szCs w:val="24"/>
        </w:rPr>
        <w:t>4</w:t>
      </w:r>
      <w:r w:rsidR="00582FB8">
        <w:rPr>
          <w:rFonts w:hAnsi="Times New Roman" w:ascii="Times New Roman"/>
          <w:sz w:val="24"/>
          <w:szCs w:val="24"/>
        </w:rPr>
        <w:t>. siječnja 2017. g.</w:t>
      </w:r>
      <w:r w:rsidRPr="0074522F">
        <w:rPr>
          <w:rFonts w:hAnsi="Times New Roman" w:ascii="Times New Roman"/>
          <w:sz w:val="24"/>
          <w:szCs w:val="24"/>
        </w:rPr>
        <w:t xml:space="preserve"> te je završno ročište održano </w:t>
      </w:r>
      <w:r w:rsidR="00834DB3">
        <w:rPr>
          <w:rFonts w:hAnsi="Times New Roman" w:ascii="Times New Roman"/>
          <w:sz w:val="24"/>
          <w:szCs w:val="24"/>
        </w:rPr>
        <w:t>23</w:t>
      </w:r>
      <w:r w:rsidR="00582FB8">
        <w:rPr>
          <w:rFonts w:hAnsi="Times New Roman" w:ascii="Times New Roman"/>
          <w:sz w:val="24"/>
          <w:szCs w:val="24"/>
        </w:rPr>
        <w:t>. veljače</w:t>
      </w:r>
      <w:r w:rsidR="00AC176B">
        <w:rPr>
          <w:rFonts w:hAnsi="Times New Roman" w:ascii="Times New Roman"/>
          <w:sz w:val="24"/>
          <w:szCs w:val="24"/>
        </w:rPr>
        <w:t xml:space="preserve"> 2017</w:t>
      </w:r>
      <w:r w:rsidR="007833E9">
        <w:rPr>
          <w:rFonts w:hAnsi="Times New Roman" w:ascii="Times New Roman"/>
          <w:sz w:val="24"/>
          <w:szCs w:val="24"/>
        </w:rPr>
        <w:t>. g.</w:t>
      </w:r>
      <w:r w:rsidRPr="0074522F">
        <w:rPr>
          <w:rFonts w:hAnsi="Times New Roman" w:ascii="Times New Roman"/>
          <w:sz w:val="24"/>
          <w:szCs w:val="24"/>
        </w:rPr>
        <w:t xml:space="preserve"> na kojem je stečajn</w:t>
      </w:r>
      <w:r w:rsidR="004375CF">
        <w:rPr>
          <w:rFonts w:hAnsi="Times New Roman" w:ascii="Times New Roman"/>
          <w:sz w:val="24"/>
          <w:szCs w:val="24"/>
        </w:rPr>
        <w:t>a</w:t>
      </w:r>
      <w:r w:rsidRPr="0074522F">
        <w:rPr>
          <w:rFonts w:hAnsi="Times New Roman" w:ascii="Times New Roman"/>
          <w:sz w:val="24"/>
          <w:szCs w:val="24"/>
        </w:rPr>
        <w:t xml:space="preserve"> su</w:t>
      </w:r>
      <w:r w:rsidR="004375CF">
        <w:rPr>
          <w:rFonts w:hAnsi="Times New Roman" w:ascii="Times New Roman"/>
          <w:sz w:val="24"/>
          <w:szCs w:val="24"/>
        </w:rPr>
        <w:t>tkinja</w:t>
      </w:r>
      <w:r w:rsidRPr="0074522F">
        <w:rPr>
          <w:rFonts w:hAnsi="Times New Roman" w:ascii="Times New Roman"/>
          <w:sz w:val="24"/>
          <w:szCs w:val="24"/>
        </w:rPr>
        <w:t xml:space="preserve"> objavi</w:t>
      </w:r>
      <w:r w:rsidR="008F78B3">
        <w:rPr>
          <w:rFonts w:hAnsi="Times New Roman" w:ascii="Times New Roman"/>
          <w:sz w:val="24"/>
          <w:szCs w:val="24"/>
        </w:rPr>
        <w:t>la</w:t>
      </w:r>
      <w:r w:rsidRPr="0074522F">
        <w:rPr>
          <w:rFonts w:hAnsi="Times New Roman" w:ascii="Times New Roman"/>
          <w:sz w:val="24"/>
          <w:szCs w:val="24"/>
        </w:rPr>
        <w:t xml:space="preserve"> da će se raspraviti završno izvješće stečajn</w:t>
      </w:r>
      <w:r w:rsidR="004375CF">
        <w:rPr>
          <w:rFonts w:hAnsi="Times New Roman" w:ascii="Times New Roman"/>
          <w:sz w:val="24"/>
          <w:szCs w:val="24"/>
        </w:rPr>
        <w:t>e upraviteljice te završni račun.</w:t>
      </w:r>
      <w:r w:rsidRPr="0074522F">
        <w:rPr>
          <w:rFonts w:hAnsi="Times New Roman" w:ascii="Times New Roman"/>
          <w:sz w:val="24"/>
          <w:szCs w:val="24"/>
        </w:rPr>
        <w:t xml:space="preserve"> </w:t>
      </w:r>
    </w:p>
    <w:p w:rsidRDefault="00551939" w:rsidP="0074522F" w:rsidR="00551939" w:rsidRPr="0074522F">
      <w:pPr>
        <w:pStyle w:val="Bezproreda"/>
        <w:jc w:val="both"/>
        <w:rPr>
          <w:rFonts w:hAnsi="Times New Roman" w:ascii="Times New Roman"/>
          <w:sz w:val="24"/>
          <w:szCs w:val="24"/>
        </w:rPr>
      </w:pPr>
    </w:p>
    <w:p w:rsidRDefault="00554530" w:rsidP="00AC176B" w:rsidR="007833E9">
      <w:pPr>
        <w:pStyle w:val="Bezproreda"/>
        <w:jc w:val="both"/>
        <w:rPr>
          <w:rFonts w:hAnsi="Times New Roman" w:ascii="Times New Roman"/>
          <w:sz w:val="24"/>
          <w:szCs w:val="24"/>
        </w:rPr>
      </w:pPr>
      <w:r w:rsidRPr="00AC176B">
        <w:rPr>
          <w:rFonts w:hAnsi="Times New Roman" w:ascii="Times New Roman"/>
          <w:sz w:val="24"/>
          <w:szCs w:val="24"/>
        </w:rPr>
        <w:lastRenderedPageBreak/>
        <w:t>Na gore navedenom završnom ročištu s</w:t>
      </w:r>
      <w:r w:rsidR="0097707D" w:rsidRPr="00AC176B">
        <w:rPr>
          <w:rFonts w:hAnsi="Times New Roman" w:ascii="Times New Roman"/>
          <w:sz w:val="24"/>
          <w:szCs w:val="24"/>
        </w:rPr>
        <w:t>tečajn</w:t>
      </w:r>
      <w:r w:rsidR="00582FB8">
        <w:rPr>
          <w:rFonts w:hAnsi="Times New Roman" w:ascii="Times New Roman"/>
          <w:sz w:val="24"/>
          <w:szCs w:val="24"/>
        </w:rPr>
        <w:t>a</w:t>
      </w:r>
      <w:r w:rsidR="0097707D" w:rsidRPr="00AC176B">
        <w:rPr>
          <w:rFonts w:hAnsi="Times New Roman" w:ascii="Times New Roman"/>
          <w:sz w:val="24"/>
          <w:szCs w:val="24"/>
        </w:rPr>
        <w:t xml:space="preserve"> upravitelj</w:t>
      </w:r>
      <w:r w:rsidR="00582FB8">
        <w:rPr>
          <w:rFonts w:hAnsi="Times New Roman" w:ascii="Times New Roman"/>
          <w:sz w:val="24"/>
          <w:szCs w:val="24"/>
        </w:rPr>
        <w:t>ica</w:t>
      </w:r>
      <w:r w:rsidR="0097707D" w:rsidRPr="00AC176B">
        <w:rPr>
          <w:rFonts w:hAnsi="Times New Roman" w:ascii="Times New Roman"/>
          <w:sz w:val="24"/>
          <w:szCs w:val="24"/>
        </w:rPr>
        <w:t xml:space="preserve"> podn</w:t>
      </w:r>
      <w:r w:rsidRPr="00AC176B">
        <w:rPr>
          <w:rFonts w:hAnsi="Times New Roman" w:ascii="Times New Roman"/>
          <w:sz w:val="24"/>
          <w:szCs w:val="24"/>
        </w:rPr>
        <w:t>i</w:t>
      </w:r>
      <w:r w:rsidR="00582FB8">
        <w:rPr>
          <w:rFonts w:hAnsi="Times New Roman" w:ascii="Times New Roman"/>
          <w:sz w:val="24"/>
          <w:szCs w:val="24"/>
        </w:rPr>
        <w:t>jela</w:t>
      </w:r>
      <w:r w:rsidRPr="00AC176B">
        <w:rPr>
          <w:rFonts w:hAnsi="Times New Roman" w:ascii="Times New Roman"/>
          <w:sz w:val="24"/>
          <w:szCs w:val="24"/>
        </w:rPr>
        <w:t xml:space="preserve"> je </w:t>
      </w:r>
      <w:r w:rsidR="0097707D" w:rsidRPr="00AC176B">
        <w:rPr>
          <w:rFonts w:hAnsi="Times New Roman" w:ascii="Times New Roman"/>
          <w:sz w:val="24"/>
          <w:szCs w:val="24"/>
        </w:rPr>
        <w:t xml:space="preserve">izvješće </w:t>
      </w:r>
      <w:r w:rsidRPr="00AC176B">
        <w:rPr>
          <w:rFonts w:hAnsi="Times New Roman" w:ascii="Times New Roman"/>
          <w:sz w:val="24"/>
          <w:szCs w:val="24"/>
        </w:rPr>
        <w:t>te je nave</w:t>
      </w:r>
      <w:r w:rsidR="00582FB8">
        <w:rPr>
          <w:rFonts w:hAnsi="Times New Roman" w:ascii="Times New Roman"/>
          <w:sz w:val="24"/>
          <w:szCs w:val="24"/>
        </w:rPr>
        <w:t>la</w:t>
      </w:r>
      <w:r w:rsidR="00273331" w:rsidRPr="00AC176B">
        <w:rPr>
          <w:rFonts w:hAnsi="Times New Roman" w:ascii="Times New Roman"/>
          <w:sz w:val="24"/>
          <w:szCs w:val="24"/>
        </w:rPr>
        <w:t xml:space="preserve"> slijedeće podatke u odnosu na </w:t>
      </w:r>
      <w:r w:rsidR="008F78B3" w:rsidRPr="00AC176B">
        <w:rPr>
          <w:rFonts w:hAnsi="Times New Roman" w:ascii="Times New Roman"/>
          <w:sz w:val="24"/>
          <w:szCs w:val="24"/>
        </w:rPr>
        <w:t xml:space="preserve">završni račun stečajnog dužnika te </w:t>
      </w:r>
      <w:r w:rsidR="00273331" w:rsidRPr="00AC176B">
        <w:rPr>
          <w:rFonts w:hAnsi="Times New Roman" w:ascii="Times New Roman"/>
          <w:sz w:val="24"/>
          <w:szCs w:val="24"/>
        </w:rPr>
        <w:t>račun prihoda i rashoda t</w:t>
      </w:r>
      <w:r w:rsidR="007833E9" w:rsidRPr="00AC176B">
        <w:rPr>
          <w:rFonts w:hAnsi="Times New Roman" w:ascii="Times New Roman"/>
          <w:sz w:val="24"/>
          <w:szCs w:val="24"/>
        </w:rPr>
        <w:t xml:space="preserve">ijekom stečajnog postupka </w:t>
      </w:r>
      <w:r w:rsidR="00273331" w:rsidRPr="00AC176B">
        <w:rPr>
          <w:rFonts w:hAnsi="Times New Roman" w:ascii="Times New Roman"/>
          <w:sz w:val="24"/>
          <w:szCs w:val="24"/>
        </w:rPr>
        <w:t>i to:</w:t>
      </w:r>
    </w:p>
    <w:p w:rsidRDefault="003E273F" w:rsidP="00AC176B" w:rsidR="003E273F">
      <w:pPr>
        <w:pStyle w:val="Bezproreda"/>
        <w:jc w:val="both"/>
        <w:rPr>
          <w:rFonts w:hAnsi="Times New Roman" w:ascii="Times New Roman"/>
          <w:sz w:val="24"/>
          <w:szCs w:val="24"/>
        </w:rPr>
      </w:pPr>
    </w:p>
    <w:p w:rsidRDefault="00834DB3" w:rsidP="00834DB3" w:rsidR="00834DB3">
      <w:pPr>
        <w:pStyle w:val="Odlomakpopisa"/>
        <w:numPr>
          <w:ilvl w:val="0"/>
          <w:numId w:val="40"/>
        </w:numPr>
        <w:spacing w:lineRule="auto" w:line="254" w:after="160"/>
      </w:pPr>
      <w:r>
        <w:t>RAČUN PRIHODA I RASHODA za razdoblje od 10. ožujka 2015. godine 31.12.2016. godine</w:t>
      </w:r>
    </w:p>
    <w:tbl>
      <w:tblPr>
        <w:tblW w:type="dxa" w:w="9800"/>
        <w:jc w:val="center"/>
        <w:tblLook w:val="04A0" w:noVBand="1" w:noHBand="0" w:lastColumn="0" w:firstColumn="1" w:lastRow="0" w:firstRow="1"/>
      </w:tblPr>
      <w:tblGrid>
        <w:gridCol w:w="6195"/>
        <w:gridCol w:w="960"/>
        <w:gridCol w:w="1293"/>
        <w:gridCol w:w="1352"/>
      </w:tblGrid>
      <w:tr w:rsidTr="00834DB3" w:rsidR="00834DB3">
        <w:trPr>
          <w:trHeight w:val="465"/>
          <w:tblHeader/>
          <w:jc w:val="center"/>
        </w:trPr>
        <w:tc>
          <w:tcPr>
            <w:tcW w:type="dxa" w:w="6654"/>
            <w:tcBorders>
              <w:top w:space="0" w:sz="4" w:color="auto" w:val="single"/>
              <w:left w:space="0" w:sz="4" w:color="auto" w:val="single"/>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Naziv pozicije</w:t>
            </w:r>
          </w:p>
        </w:tc>
        <w:tc>
          <w:tcPr>
            <w:tcW w:type="dxa" w:w="960"/>
            <w:tcBorders>
              <w:top w:space="0" w:sz="4" w:color="auto" w:val="single"/>
              <w:left w:val="nil"/>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AOP</w:t>
            </w:r>
            <w:r>
              <w:rPr>
                <w:b/>
                <w:bCs/>
              </w:rPr>
              <w:br/>
              <w:t>oznaka</w:t>
            </w:r>
          </w:p>
        </w:tc>
        <w:tc>
          <w:tcPr>
            <w:tcW w:type="dxa" w:w="1071"/>
            <w:tcBorders>
              <w:top w:space="0" w:sz="4" w:color="auto" w:val="single"/>
              <w:left w:val="nil"/>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10.03.2015-31.12.2015.</w:t>
            </w:r>
          </w:p>
        </w:tc>
        <w:tc>
          <w:tcPr>
            <w:tcW w:type="dxa" w:w="1115"/>
            <w:tcBorders>
              <w:top w:space="0" w:sz="4" w:color="auto" w:val="single"/>
              <w:left w:val="nil"/>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01.01.2016.-31.12.2016</w:t>
            </w:r>
          </w:p>
        </w:tc>
      </w:tr>
      <w:tr w:rsidTr="00834DB3" w:rsidR="00834DB3">
        <w:trPr>
          <w:trHeight w:val="300"/>
          <w:tblHeader/>
          <w:jc w:val="center"/>
        </w:trPr>
        <w:tc>
          <w:tcPr>
            <w:tcW w:type="dxa" w:w="6654"/>
            <w:tcBorders>
              <w:top w:val="nil"/>
              <w:left w:space="0" w:sz="4" w:color="auto" w:val="single"/>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1</w:t>
            </w:r>
          </w:p>
        </w:tc>
        <w:tc>
          <w:tcPr>
            <w:tcW w:type="dxa" w:w="960"/>
            <w:tcBorders>
              <w:top w:val="nil"/>
              <w:left w:val="nil"/>
              <w:bottom w:space="0" w:sz="4" w:color="auto" w:val="single"/>
              <w:right w:space="0" w:sz="4" w:color="auto" w:val="single"/>
            </w:tcBorders>
            <w:shd w:fill="969696" w:color="auto" w:val="clear"/>
            <w:noWrap/>
            <w:vAlign w:val="center"/>
            <w:hideMark/>
          </w:tcPr>
          <w:p w:rsidRDefault="00834DB3" w:rsidR="00834DB3">
            <w:pPr>
              <w:jc w:val="center"/>
              <w:rPr>
                <w:b/>
                <w:bCs/>
                <w:sz w:val="24"/>
                <w:szCs w:val="24"/>
              </w:rPr>
            </w:pPr>
            <w:r>
              <w:rPr>
                <w:b/>
                <w:bCs/>
              </w:rPr>
              <w:t>2</w:t>
            </w:r>
          </w:p>
        </w:tc>
        <w:tc>
          <w:tcPr>
            <w:tcW w:type="dxa" w:w="1071"/>
            <w:tcBorders>
              <w:top w:val="nil"/>
              <w:left w:val="nil"/>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3</w:t>
            </w:r>
          </w:p>
        </w:tc>
        <w:tc>
          <w:tcPr>
            <w:tcW w:type="dxa" w:w="1115"/>
            <w:tcBorders>
              <w:top w:val="nil"/>
              <w:left w:val="nil"/>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4</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I. POSLOVNI PRIHODI </w:t>
            </w:r>
            <w:r>
              <w:t>(112+113)</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111</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0</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462.000</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1. Prihodi od prodaje</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112</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462.000</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2. Ostali poslovni prihodi</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113</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II. POSLOVNI RASHODI </w:t>
            </w:r>
            <w:r>
              <w:t>(115+116+120+124+125+126+129+130)</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114</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10.793</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959.913</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1. Promjene vrijednosti zaliha proizvodnje u tijeku i gotovih proizvoda</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115</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2. Materijalni troškovi </w:t>
            </w:r>
            <w:r>
              <w:t>(117 do 119)</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116</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6.743</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804.248</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a) Troškovi sirovina i materijala</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117</w:t>
            </w:r>
          </w:p>
        </w:tc>
        <w:tc>
          <w:tcPr>
            <w:tcW w:type="dxa" w:w="1071"/>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84</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b) Troškovi prodane robe</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118</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786.148</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c) Ostali vanjski troškovi</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119</w:t>
            </w:r>
          </w:p>
        </w:tc>
        <w:tc>
          <w:tcPr>
            <w:tcW w:type="dxa" w:w="1071"/>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6.659</w:t>
            </w:r>
          </w:p>
        </w:tc>
        <w:tc>
          <w:tcPr>
            <w:tcW w:type="dxa" w:w="1115"/>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18.100</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3. Troškovi osoblja </w:t>
            </w:r>
            <w:r>
              <w:t>(121 do 123)</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120</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0</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0</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a) Neto plaće i nadnice</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121</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b) Troškovi poreza i doprinosa iz plaća</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122</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c) Doprinosi na plaće</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123</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4. Amortizacija</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124</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5. Ostali troškovi</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125</w:t>
            </w:r>
          </w:p>
        </w:tc>
        <w:tc>
          <w:tcPr>
            <w:tcW w:type="dxa" w:w="1071"/>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50</w:t>
            </w:r>
          </w:p>
        </w:tc>
        <w:tc>
          <w:tcPr>
            <w:tcW w:type="dxa" w:w="1115"/>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82.701</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6. Vrijednosno usklađivanje </w:t>
            </w:r>
            <w:r>
              <w:t>(127+128)</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126</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0</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8.652</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a) dugotrajne imovine (osim financijske imovine)</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127</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b) kratkotrajne imovine (osim financijske imovine)</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128</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8.652</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7. Rezerviranja</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129</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8. Ostali poslovni rashodi</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130</w:t>
            </w:r>
          </w:p>
        </w:tc>
        <w:tc>
          <w:tcPr>
            <w:tcW w:type="dxa" w:w="1071"/>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4.000</w:t>
            </w:r>
          </w:p>
        </w:tc>
        <w:tc>
          <w:tcPr>
            <w:tcW w:type="dxa" w:w="1115"/>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64.312</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lastRenderedPageBreak/>
              <w:t xml:space="preserve">III. FINANCIJSKI PRIHODI </w:t>
            </w:r>
            <w:r>
              <w:t>(132 do 136)</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131</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0</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73.504</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1. Kamate, tečajne razlike, dividende i slični prihodi iz odnosa s</w:t>
            </w:r>
            <w:r>
              <w:rPr>
                <w:b/>
                <w:bCs/>
              </w:rPr>
              <w:br/>
              <w:t xml:space="preserve">         povezanim poduzetnicima</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132</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2. Kamate, tečajne razlike, dividende, slični prihodi iz odnosa s</w:t>
            </w:r>
            <w:r>
              <w:rPr>
                <w:b/>
                <w:bCs/>
              </w:rPr>
              <w:br/>
              <w:t xml:space="preserve">          nepovezanim poduzetnicima i drugim osobama</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133</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4</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3. Dio prihoda od pridruženih poduzetnika i sudjelujućih interesa</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134</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4. Nerealizirani dobici (prihodi) od financijske imovine</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135</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5. Ostali financijski prihodi</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136</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73.500</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IV. FINANCIJSKI RASHODI </w:t>
            </w:r>
            <w:r>
              <w:t>(138 do 141)</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137</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0</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0</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1. Kamate, tečajne razlike i drugi rashodi s povezanim poduzetnicima</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138</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2. Kamate, tečajne razlike i drugi rashodi iz odnosa s nepovezanim</w:t>
            </w:r>
            <w:r>
              <w:rPr>
                <w:b/>
                <w:bCs/>
              </w:rPr>
              <w:br/>
              <w:t xml:space="preserve">        poduzetnicima i drugim osobama</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139</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3. Nerealizirani gubici (rashodi) od financijske imovine</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140</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    4. Ostali financijski rashodi</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141</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V.    UDIO U DOBITI OD PRIDRUŽENIH PODUZETNIKA </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142</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VI.   UDIO U GUBITKU OD PRIDRUŽENIH PODUZETNIKA </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143</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VII.  IZVANREDNI - OSTALI PRIHODI</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144</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VIII. IZVANREDNI - OSTALI RASHODI</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145</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IX.  UKUPNI PRIHODI </w:t>
            </w:r>
            <w:r>
              <w:t>(111+131+142 + 144)</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146</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0</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535.504</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X.   UKUPNI RASHODI </w:t>
            </w:r>
            <w:r>
              <w:t>(114+137+143 + 145)</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147</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10.793</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959.913</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XI.  DOBIT ILI GUBITAK PRIJE OPOREZIVANJA </w:t>
            </w:r>
            <w:r>
              <w:t>(146-147)</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148</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-10.793</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-424.409</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P="00834DB3" w:rsidR="00834DB3">
            <w:pPr>
              <w:ind w:firstLineChars="100" w:firstLine="220"/>
              <w:rPr>
                <w:sz w:val="24"/>
                <w:szCs w:val="24"/>
              </w:rPr>
            </w:pPr>
            <w:r>
              <w:t xml:space="preserve">  1. Dobit prije oporezivanja (146-147)</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149</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0</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0</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P="00834DB3" w:rsidR="00834DB3">
            <w:pPr>
              <w:ind w:firstLineChars="100" w:firstLine="220"/>
              <w:rPr>
                <w:sz w:val="24"/>
                <w:szCs w:val="24"/>
              </w:rPr>
            </w:pPr>
            <w:r>
              <w:lastRenderedPageBreak/>
              <w:t xml:space="preserve">  2. Gubitak prije oporezivanja (147-146)</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150</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10.793</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424.409</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XII.  POREZ NA DOBIT</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151</w:t>
            </w:r>
          </w:p>
        </w:tc>
        <w:tc>
          <w:tcPr>
            <w:tcW w:type="dxa" w:w="1071"/>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c>
          <w:tcPr>
            <w:tcW w:type="dxa" w:w="1115"/>
            <w:tcBorders>
              <w:top w:val="nil"/>
              <w:left w:val="nil"/>
              <w:bottom w:space="0" w:sz="4" w:color="auto" w:val="single"/>
              <w:right w:space="0" w:sz="4" w:color="auto" w:val="single"/>
            </w:tcBorders>
            <w:noWrap/>
            <w:vAlign w:val="center"/>
            <w:hideMark/>
          </w:tcPr>
          <w:p w:rsidRDefault="00834DB3" w:rsidR="00834DB3">
            <w:pPr>
              <w:rPr>
                <w:sz w:val="24"/>
                <w:szCs w:val="24"/>
              </w:rPr>
            </w:pPr>
            <w:r>
              <w:t> </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XIII. DOBIT ILI GUBITAK RAZDOBLJA </w:t>
            </w:r>
            <w:r>
              <w:t>(148-151)</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152</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-10.793</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-424.409</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P="00834DB3" w:rsidR="00834DB3">
            <w:pPr>
              <w:ind w:firstLineChars="100" w:firstLine="220"/>
              <w:rPr>
                <w:sz w:val="24"/>
                <w:szCs w:val="24"/>
              </w:rPr>
            </w:pPr>
            <w:r>
              <w:t xml:space="preserve">  1. Dobit razdoblja (149-151)</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153</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0</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0</w:t>
            </w:r>
          </w:p>
        </w:tc>
      </w:tr>
      <w:tr w:rsidTr="00834DB3" w:rsidR="00834DB3">
        <w:trPr>
          <w:trHeight w:val="300"/>
          <w:jc w:val="center"/>
        </w:trPr>
        <w:tc>
          <w:tcPr>
            <w:tcW w:type="dxa" w:w="6654"/>
            <w:tcBorders>
              <w:top w:val="nil"/>
              <w:left w:space="0" w:sz="4" w:color="auto" w:val="single"/>
              <w:bottom w:space="0" w:sz="4" w:color="auto" w:val="single"/>
              <w:right w:space="0" w:sz="4" w:color="auto" w:val="single"/>
            </w:tcBorders>
            <w:vAlign w:val="center"/>
            <w:hideMark/>
          </w:tcPr>
          <w:p w:rsidRDefault="00834DB3" w:rsidP="00834DB3" w:rsidR="00834DB3">
            <w:pPr>
              <w:ind w:firstLineChars="100" w:firstLine="220"/>
              <w:rPr>
                <w:sz w:val="24"/>
                <w:szCs w:val="24"/>
              </w:rPr>
            </w:pPr>
            <w:r>
              <w:t xml:space="preserve">  2. Gubitak razdoblja (151-148)</w:t>
            </w:r>
          </w:p>
        </w:tc>
        <w:tc>
          <w:tcPr>
            <w:tcW w:type="dxa" w:w="960"/>
            <w:tcBorders>
              <w:top w:val="nil"/>
              <w:left w:val="nil"/>
              <w:bottom w:space="0" w:sz="4" w:color="auto" w:val="single"/>
              <w:right w:space="0" w:sz="4" w:color="auto" w:val="single"/>
            </w:tcBorders>
            <w:noWrap/>
            <w:vAlign w:val="center"/>
            <w:hideMark/>
          </w:tcPr>
          <w:p w:rsidRDefault="00834DB3" w:rsidR="00834DB3">
            <w:pPr>
              <w:jc w:val="center"/>
              <w:rPr>
                <w:b/>
                <w:bCs/>
                <w:sz w:val="24"/>
                <w:szCs w:val="24"/>
              </w:rPr>
            </w:pPr>
            <w:r>
              <w:rPr>
                <w:b/>
                <w:bCs/>
              </w:rPr>
              <w:t>154</w:t>
            </w:r>
          </w:p>
        </w:tc>
        <w:tc>
          <w:tcPr>
            <w:tcW w:type="dxa" w:w="1071"/>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10.793</w:t>
            </w:r>
          </w:p>
        </w:tc>
        <w:tc>
          <w:tcPr>
            <w:tcW w:type="dxa" w:w="1115"/>
            <w:tcBorders>
              <w:top w:val="nil"/>
              <w:left w:val="nil"/>
              <w:bottom w:space="0" w:sz="4" w:color="auto" w:val="single"/>
              <w:right w:space="0" w:sz="4" w:color="auto" w:val="single"/>
            </w:tcBorders>
            <w:shd w:fill="auto" w:color="C0C0C0" w:val="pct25"/>
            <w:noWrap/>
            <w:vAlign w:val="center"/>
            <w:hideMark/>
          </w:tcPr>
          <w:p w:rsidRDefault="00834DB3" w:rsidR="00834DB3">
            <w:pPr>
              <w:jc w:val="right"/>
              <w:rPr>
                <w:sz w:val="24"/>
                <w:szCs w:val="24"/>
              </w:rPr>
            </w:pPr>
            <w:r>
              <w:t>424.409</w:t>
            </w:r>
          </w:p>
        </w:tc>
      </w:tr>
    </w:tbl>
    <w:p w:rsidRDefault="00834DB3" w:rsidP="00834DB3" w:rsidR="00834DB3">
      <w:pPr>
        <w:pStyle w:val="Odlomakpopisa"/>
        <w:ind w:left="1080"/>
      </w:pPr>
    </w:p>
    <w:p w:rsidRDefault="00834DB3" w:rsidP="00834DB3" w:rsidR="00834DB3">
      <w:pPr>
        <w:pStyle w:val="Odlomakpopisa"/>
        <w:ind w:left="1080"/>
      </w:pPr>
    </w:p>
    <w:p w:rsidRDefault="00834DB3" w:rsidP="00834DB3" w:rsidR="00834DB3">
      <w:pPr>
        <w:pStyle w:val="Odlomakpopisa"/>
        <w:numPr>
          <w:ilvl w:val="0"/>
          <w:numId w:val="40"/>
        </w:numPr>
        <w:spacing w:lineRule="auto" w:line="254" w:after="160"/>
      </w:pPr>
      <w:r>
        <w:t>ZAVRŠNA BILANCA – pregled za razdoblje od 10.03.2015 do 31.12.2016.god.</w:t>
      </w:r>
    </w:p>
    <w:tbl>
      <w:tblPr>
        <w:tblW w:type="dxa" w:w="9340"/>
        <w:jc w:val="center"/>
        <w:tblLook w:val="04A0" w:noVBand="1" w:noHBand="0" w:lastColumn="0" w:firstColumn="1" w:lastRow="0" w:firstRow="1"/>
      </w:tblPr>
      <w:tblGrid>
        <w:gridCol w:w="5887"/>
        <w:gridCol w:w="942"/>
        <w:gridCol w:w="1285"/>
        <w:gridCol w:w="1226"/>
      </w:tblGrid>
      <w:tr w:rsidTr="00834DB3" w:rsidR="00834DB3">
        <w:trPr>
          <w:trHeight w:val="420"/>
          <w:tblHeader/>
          <w:jc w:val="center"/>
        </w:trPr>
        <w:tc>
          <w:tcPr>
            <w:tcW w:type="dxa" w:w="6460"/>
            <w:tcBorders>
              <w:top w:space="0" w:sz="4" w:color="auto" w:val="single"/>
              <w:left w:space="0" w:sz="4" w:color="auto" w:val="single"/>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Naziv pozicije</w:t>
            </w:r>
          </w:p>
        </w:tc>
        <w:tc>
          <w:tcPr>
            <w:tcW w:type="dxa" w:w="960"/>
            <w:tcBorders>
              <w:top w:space="0" w:sz="4" w:color="auto" w:val="single"/>
              <w:left w:val="nil"/>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AOP</w:t>
            </w:r>
            <w:r>
              <w:rPr>
                <w:b/>
                <w:bCs/>
              </w:rPr>
              <w:br/>
              <w:t>oznaka</w:t>
            </w:r>
          </w:p>
        </w:tc>
        <w:tc>
          <w:tcPr>
            <w:tcW w:type="dxa" w:w="960"/>
            <w:tcBorders>
              <w:top w:space="0" w:sz="4" w:color="auto" w:val="single"/>
              <w:left w:val="nil"/>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31.12.2015.</w:t>
            </w:r>
          </w:p>
        </w:tc>
        <w:tc>
          <w:tcPr>
            <w:tcW w:type="dxa" w:w="960"/>
            <w:tcBorders>
              <w:top w:space="0" w:sz="4" w:color="auto" w:val="single"/>
              <w:left w:val="nil"/>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31.12.2016</w:t>
            </w:r>
          </w:p>
        </w:tc>
      </w:tr>
      <w:tr w:rsidTr="00834DB3" w:rsidR="00834DB3">
        <w:trPr>
          <w:trHeight w:val="300"/>
          <w:tblHeader/>
          <w:jc w:val="center"/>
        </w:trPr>
        <w:tc>
          <w:tcPr>
            <w:tcW w:type="dxa" w:w="6460"/>
            <w:tcBorders>
              <w:top w:val="nil"/>
              <w:left w:space="0" w:sz="4" w:color="auto" w:val="single"/>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1</w:t>
            </w:r>
          </w:p>
        </w:tc>
        <w:tc>
          <w:tcPr>
            <w:tcW w:type="dxa" w:w="960"/>
            <w:tcBorders>
              <w:top w:val="nil"/>
              <w:left w:val="nil"/>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2</w:t>
            </w:r>
          </w:p>
        </w:tc>
        <w:tc>
          <w:tcPr>
            <w:tcW w:type="dxa" w:w="960"/>
            <w:tcBorders>
              <w:top w:val="nil"/>
              <w:left w:val="nil"/>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3</w:t>
            </w:r>
          </w:p>
        </w:tc>
        <w:tc>
          <w:tcPr>
            <w:tcW w:type="dxa" w:w="960"/>
            <w:tcBorders>
              <w:top w:val="nil"/>
              <w:left w:val="nil"/>
              <w:bottom w:space="0" w:sz="4" w:color="auto" w:val="single"/>
              <w:right w:space="0" w:sz="4" w:color="auto" w:val="single"/>
            </w:tcBorders>
            <w:shd w:fill="969696" w:color="auto" w:val="clear"/>
            <w:vAlign w:val="center"/>
            <w:hideMark/>
          </w:tcPr>
          <w:p w:rsidRDefault="00834DB3" w:rsidR="00834DB3">
            <w:pPr>
              <w:jc w:val="center"/>
              <w:rPr>
                <w:b/>
                <w:bCs/>
                <w:sz w:val="24"/>
                <w:szCs w:val="24"/>
              </w:rPr>
            </w:pPr>
            <w:r>
              <w:rPr>
                <w:b/>
                <w:bCs/>
              </w:rPr>
              <w:t>4</w:t>
            </w:r>
          </w:p>
        </w:tc>
      </w:tr>
      <w:tr w:rsidTr="00834DB3" w:rsidR="00834DB3">
        <w:trPr>
          <w:trHeight w:val="300"/>
          <w:jc w:val="center"/>
        </w:trPr>
        <w:tc>
          <w:tcPr>
            <w:tcW w:type="dxa" w:w="9340"/>
            <w:gridSpan w:val="4"/>
            <w:tcBorders>
              <w:top w:space="0" w:sz="4" w:color="auto" w:val="single"/>
              <w:left w:space="0" w:sz="4" w:color="auto" w:val="single"/>
              <w:bottom w:space="0" w:sz="4" w:color="auto" w:val="single"/>
              <w:right w:space="0" w:sz="4" w:color="auto" w:val="single"/>
            </w:tcBorders>
            <w:shd w:fill="C0C0C0" w:color="auto" w:val="clear"/>
            <w:vAlign w:val="center"/>
            <w:hideMark/>
          </w:tcPr>
          <w:p w:rsidRDefault="00834DB3" w:rsidR="00834DB3">
            <w:pPr>
              <w:rPr>
                <w:b/>
                <w:bCs/>
                <w:sz w:val="24"/>
                <w:szCs w:val="24"/>
              </w:rPr>
            </w:pPr>
            <w:r>
              <w:rPr>
                <w:b/>
                <w:bCs/>
              </w:rPr>
              <w:t>AKTIVA</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A)  POTRAŽIVANJA ZA UPISANI A NEUPLAĆENI KAPITAL</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001</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B)  DUGOTRAJNA IMOVINA </w:t>
            </w:r>
            <w:r>
              <w:t>(003+010+020+029+033)</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002</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64.313</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I. NEMATERIJALNA IMOVINA (004 do 009)</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003</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1. Izdaci za razvoj</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004</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2. Koncesije, patenti, licencije, robne i uslužne marke, softver i ostala prava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005</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3. Goodwill</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006</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4. Predujmovi za nabavu nematerijalne imovine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007</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5. Nematerijalna imovina u pripremi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008</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6. Ostala nematerijalna imovina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009</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II. MATERIJALNA IMOVINA (011 do 019)</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010</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64.313</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1. Zemljište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011</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2. Građevinski objekti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012</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64.313</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lastRenderedPageBreak/>
              <w:t xml:space="preserve">    3. Postrojenja i oprema </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013</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4. Alati, pogonski inventar i transportna imovina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014</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5. Biološka imovina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015</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6. Predujmovi za materijalnu imovinu</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016</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7. Materijalna imovina u pripremi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017</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8. Ostala materijalna imovina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018</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9. Ulaganje u nekretnine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019</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III. DUGOTRAJNA FINANCIJSKA IMOVINA (021 do 028)</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020</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1. Udjeli (dionice) kod povezanih poduzetnika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021</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2. Dani zajmovi povezanim poduzetnicima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022</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3. Sudjelujući interesi (udjeli)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023</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4. Zajmovi dani poduzetnicima u kojima postoje sudjelujući interesi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024</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5. Ulaganja u vrijednosne papire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025</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6. Dani zajmovi, depoziti i slično</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026</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7. Ostala dugotrajna financijska imovina </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027</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8.  Ulaganja koja se obračunavaju metodom udjela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028</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IV. POTRAŽIVANJA (030 do 032)</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029</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1. Potraživanja od povezanih poduzetnika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030</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2. Potraživanja po osnovi prodaje na kredit</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031</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3. Ostala potraživanja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032</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V. ODGOĐENA POREZNA IMOVINA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033</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C)  KRATKOTRAJNA IMOVINA </w:t>
            </w:r>
            <w:r>
              <w:t>(035+043+050+058)</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034</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1.752.172</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1.030.235</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I. ZALIHE (036 do 042)</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035</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786.148</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lastRenderedPageBreak/>
              <w:t xml:space="preserve">   1. Sirovine i materijal</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036</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2. Proizvodnja u tijeku</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037</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3. Gotovi proizvodi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038</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4. Trgovačka roba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039</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786.148</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5. Predujmovi za zalihe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040</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6. Dugotrajna imovina namijenjena prodaji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041</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7. Biološka imovina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042</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II. POTRAŽIVANJA (044 do 049)</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043</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966.024</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942.402</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1. Potraživanja od povezanih poduzetnika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044</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2. Potraživanja od kupaca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045</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945.306</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936.654</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3. Potraživanja od sudjelujućih poduzetnika </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046</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4. Potraživanja od zaposlenika i članova poduzetnika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047</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5. Potraživanja od države i drugih institucija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048</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20.718</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5.748</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6. Ostala potraživanja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049</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III. KRATKOTRAJNA FINANCIJSKA IMOVINA (051 do 057)</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050</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1. Udjeli (dionice) kod povezanih poduzetnika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051</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2. Dani zajmovi povezanim poduzetnicima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052</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3. Sudjelujući interesi (udjeli) </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053</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4. Zajmovi dani poduzetnicima u kojima postoje sudjelujući interesi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054</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5. Ulaganja u vrijednosne papire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055</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6. Dani zajmovi, depoziti i slično</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056</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7. Ostala financijska imovina </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057</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IV. NOVAC U BANCI I BLAGAJNI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058</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87.833</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lastRenderedPageBreak/>
              <w:t>D)  PLAĆENI TROŠKOVI BUDUĆEG RAZDOBLJA I OBRAČUNATI PRIHODI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059</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E)  UKUPNO AKTIVA </w:t>
            </w:r>
            <w:r>
              <w:t>(001+002+034+059)</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060</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1.816.485</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1.030.235</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F)  IZVANBILANČNI ZAPISI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061</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9340"/>
            <w:gridSpan w:val="4"/>
            <w:tcBorders>
              <w:top w:space="0" w:sz="4" w:color="auto" w:val="single"/>
              <w:left w:space="0" w:sz="4" w:color="auto" w:val="single"/>
              <w:bottom w:space="0" w:sz="4" w:color="auto" w:val="single"/>
              <w:right w:space="0" w:sz="4" w:color="auto" w:val="single"/>
            </w:tcBorders>
            <w:shd w:fill="C0C0C0" w:color="auto" w:val="clear"/>
            <w:vAlign w:val="center"/>
            <w:hideMark/>
          </w:tcPr>
          <w:p w:rsidRDefault="00834DB3" w:rsidR="00834DB3">
            <w:pPr>
              <w:rPr>
                <w:b/>
                <w:bCs/>
                <w:sz w:val="24"/>
                <w:szCs w:val="24"/>
              </w:rPr>
            </w:pPr>
            <w:r>
              <w:rPr>
                <w:b/>
                <w:bCs/>
              </w:rPr>
              <w:t>PASIVA</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A)  KAPITAL I REZERVE </w:t>
            </w:r>
            <w:r>
              <w:t>(063+064+065+071+072+075+078)</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062</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-3.253.415</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-3.677.823</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I. TEMELJNI (UPISANI) KAPITAL</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063</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20.000</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20.000</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II. KAPITALNE REZERVE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064</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III. REZERVE IZ DOBITI (066+067-068+069+070)</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065</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1. Zakonske rezerve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066</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2. Rezerve za vlastite dionice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067</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3. Vlastite dionice i udjeli (odbitna stavka)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068</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4. Statutarne rezerve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069</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5. Ostale rezerve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070</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IV. REVALORIZACIJSKE REZERVE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071</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V. ZADRŽANA DOBIT ILI PRENESENI GUBITAK (073-074)</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072</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-3.262.622</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-3.273.414</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1. Zadržana dobit</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073</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2. Preneseni gubitak</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074</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3.262.622</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3.273.414</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VI. DOBIT ILI GUBITAK POSLOVNE GODINE (076-077)</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075</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-10.793</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-424.409</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1. Dobit poslovne godine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076</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2. Gubitak poslovne godine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077</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10.793</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424.409</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VII. MANJINSKI INTERES</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078</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B)  REZERVIRANJA </w:t>
            </w:r>
            <w:r>
              <w:t>(080 do 082)</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079</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0</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1. Rezerviranja za mirovine, otpremnine i slične obveze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080</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lastRenderedPageBreak/>
              <w:t xml:space="preserve">     2. Rezerviranja za porezne obveze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081</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3. Druga rezerviranja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082</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C)  DUGOROČNE OBVEZE </w:t>
            </w:r>
            <w:r>
              <w:t>(084 do 092)</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083</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1.692.814</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1.323.014</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1. Obveze prema povezanim poduzetnicima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084</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2. Obveze za zajmove, depozite i slično</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085</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3. Obveze prema bankama i drugim financijskim institucijama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086</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1.692.814</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1.323.014</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4. Obveze za predujmove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087</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5. Obveze prema dobavljačima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088</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6. Obveze po vrijednosnim papirima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089</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7. Obveze prema poduzetnicima u kojima postoje sudjelujući interesi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090</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8. Ostale dugoročne obveze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091</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9. Odgođena porezna obveza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092</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D)  KRATKOROČNE OBVEZE </w:t>
            </w:r>
            <w:r>
              <w:t>(094 do 105)</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093</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3.377.086</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3.385.044</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1. Obveze prema povezanim poduzetnicima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094</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2. Obveze za zajmove, depozite i slično</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095</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1.528.259</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1.528.259</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3. Obveze prema bankama i drugim financijskim institucijama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096</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34.639</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34.639</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4. Obveze za predujmove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097</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5. Obveze prema dobavljačima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098</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1.125.636</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1.133.701</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6. Obveze po vrijednosnim papirima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099</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7. Obveze prema poduzetnicima u kojima postoje sudjelujući interesi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100</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8. Obveze prema zaposlenicima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101</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46.447</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46.447</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lastRenderedPageBreak/>
              <w:t xml:space="preserve">     9. Obveze za poreze, doprinose i slična davanja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102</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636.631</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636.631</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10. Obveze s osnove udjela u rezultatu</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103</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11. Obveze po osnovi dugotrajne imovine namijenjene prodaji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104</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sz w:val="24"/>
                <w:szCs w:val="24"/>
              </w:rPr>
            </w:pPr>
            <w:r>
              <w:t xml:space="preserve">   12. Ostale kratkoročne obveze</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105</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5.474</w:t>
            </w:r>
          </w:p>
        </w:tc>
        <w:tc>
          <w:tcPr>
            <w:tcW w:type="dxa" w:w="960"/>
            <w:tcBorders>
              <w:top w:val="nil"/>
              <w:left w:val="nil"/>
              <w:bottom w:space="0" w:sz="4" w:color="auto" w:val="single"/>
              <w:right w:space="0" w:sz="4" w:color="auto" w:val="single"/>
            </w:tcBorders>
            <w:vAlign w:val="center"/>
            <w:hideMark/>
          </w:tcPr>
          <w:p w:rsidRDefault="00834DB3" w:rsidR="00834DB3">
            <w:pPr>
              <w:jc w:val="right"/>
              <w:rPr>
                <w:sz w:val="24"/>
                <w:szCs w:val="24"/>
              </w:rPr>
            </w:pPr>
            <w:r>
              <w:t>5.367</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E) ODGOĐENO PLAĆANJE TROŠKOVA I PRIHOD BUDUĆEGA RAZDOBLJA</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106</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 xml:space="preserve">F) UKUPNO – PASIVA </w:t>
            </w:r>
            <w:r>
              <w:t>(062+079+083+093+106)</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107</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1.816.485</w:t>
            </w:r>
          </w:p>
        </w:tc>
        <w:tc>
          <w:tcPr>
            <w:tcW w:type="dxa" w:w="960"/>
            <w:tcBorders>
              <w:top w:val="nil"/>
              <w:left w:val="nil"/>
              <w:bottom w:space="0" w:sz="4" w:color="auto" w:val="single"/>
              <w:right w:space="0" w:sz="4" w:color="auto" w:val="single"/>
            </w:tcBorders>
            <w:shd w:fill="auto" w:color="C0C0C0" w:val="pct25"/>
            <w:vAlign w:val="center"/>
            <w:hideMark/>
          </w:tcPr>
          <w:p w:rsidRDefault="00834DB3" w:rsidR="00834DB3">
            <w:pPr>
              <w:jc w:val="right"/>
              <w:rPr>
                <w:sz w:val="24"/>
                <w:szCs w:val="24"/>
              </w:rPr>
            </w:pPr>
            <w:r>
              <w:t>1.030.235</w:t>
            </w:r>
          </w:p>
        </w:tc>
      </w:tr>
      <w:tr w:rsidTr="00834DB3" w:rsidR="00834DB3">
        <w:trPr>
          <w:trHeight w:val="300"/>
          <w:jc w:val="center"/>
        </w:trPr>
        <w:tc>
          <w:tcPr>
            <w:tcW w:type="dxa" w:w="6460"/>
            <w:tcBorders>
              <w:top w:val="nil"/>
              <w:left w:space="0" w:sz="4" w:color="auto" w:val="single"/>
              <w:bottom w:space="0" w:sz="4" w:color="auto" w:val="single"/>
              <w:right w:space="0" w:sz="4" w:color="auto" w:val="single"/>
            </w:tcBorders>
            <w:vAlign w:val="center"/>
            <w:hideMark/>
          </w:tcPr>
          <w:p w:rsidRDefault="00834DB3" w:rsidR="00834DB3">
            <w:pPr>
              <w:rPr>
                <w:b/>
                <w:bCs/>
                <w:sz w:val="24"/>
                <w:szCs w:val="24"/>
              </w:rPr>
            </w:pPr>
            <w:r>
              <w:rPr>
                <w:b/>
                <w:bCs/>
              </w:rPr>
              <w:t>G)  IZVANBILANČNI ZAPISI</w:t>
            </w:r>
          </w:p>
        </w:tc>
        <w:tc>
          <w:tcPr>
            <w:tcW w:type="dxa" w:w="960"/>
            <w:tcBorders>
              <w:top w:val="nil"/>
              <w:left w:val="nil"/>
              <w:bottom w:space="0" w:sz="4" w:color="auto" w:val="single"/>
              <w:right w:space="0" w:sz="4" w:color="auto" w:val="single"/>
            </w:tcBorders>
            <w:vAlign w:val="center"/>
            <w:hideMark/>
          </w:tcPr>
          <w:p w:rsidRDefault="00834DB3" w:rsidR="00834DB3">
            <w:pPr>
              <w:jc w:val="center"/>
              <w:rPr>
                <w:b/>
                <w:bCs/>
                <w:sz w:val="24"/>
                <w:szCs w:val="24"/>
              </w:rPr>
            </w:pPr>
            <w:r>
              <w:rPr>
                <w:b/>
                <w:bCs/>
              </w:rPr>
              <w:t>108</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c>
          <w:tcPr>
            <w:tcW w:type="dxa" w:w="960"/>
            <w:tcBorders>
              <w:top w:val="nil"/>
              <w:left w:val="nil"/>
              <w:bottom w:space="0" w:sz="4" w:color="auto" w:val="single"/>
              <w:right w:space="0" w:sz="4" w:color="auto" w:val="single"/>
            </w:tcBorders>
            <w:vAlign w:val="center"/>
            <w:hideMark/>
          </w:tcPr>
          <w:p w:rsidRDefault="00834DB3" w:rsidR="00834DB3">
            <w:pPr>
              <w:rPr>
                <w:sz w:val="24"/>
                <w:szCs w:val="24"/>
              </w:rPr>
            </w:pPr>
            <w:r>
              <w:t> </w:t>
            </w:r>
          </w:p>
        </w:tc>
      </w:tr>
    </w:tbl>
    <w:p w:rsidRDefault="00834DB3" w:rsidP="00834DB3" w:rsidR="00834DB3" w:rsidRPr="00834DB3">
      <w:pPr>
        <w:pStyle w:val="Bezproreda"/>
        <w:rPr>
          <w:rFonts w:hAnsi="Times New Roman" w:ascii="Times New Roman"/>
          <w:sz w:val="24"/>
          <w:szCs w:val="24"/>
        </w:rPr>
      </w:pPr>
    </w:p>
    <w:p w:rsidRDefault="00834DB3" w:rsidP="00834DB3" w:rsidR="00834DB3" w:rsidRPr="00834DB3">
      <w:pPr>
        <w:pStyle w:val="Bezproreda"/>
        <w:rPr>
          <w:rFonts w:hAnsi="Times New Roman" w:ascii="Times New Roman"/>
          <w:b/>
          <w:sz w:val="24"/>
          <w:szCs w:val="24"/>
        </w:rPr>
      </w:pPr>
      <w:r w:rsidRPr="00834DB3">
        <w:rPr>
          <w:rFonts w:hAnsi="Times New Roman" w:ascii="Times New Roman"/>
          <w:b/>
          <w:sz w:val="24"/>
          <w:szCs w:val="24"/>
        </w:rPr>
        <w:t>Pregled priljeva i odljeva novca u razdoblju od 10.03.2015. godine do okončanja stečajnog postupka</w:t>
      </w:r>
    </w:p>
    <w:p w:rsidRDefault="00834DB3" w:rsidP="00834DB3" w:rsidR="00834DB3">
      <w:pPr>
        <w:pStyle w:val="Odlomakpopisa"/>
        <w:numPr>
          <w:ilvl w:val="0"/>
          <w:numId w:val="42"/>
        </w:numPr>
        <w:spacing w:lineRule="auto" w:line="254" w:after="160"/>
      </w:pPr>
      <w:r>
        <w:t>Pregled priljeva novčanih sredstava na žiro račun</w:t>
      </w:r>
    </w:p>
    <w:tbl>
      <w:tblPr>
        <w:tblW w:type="dxa" w:w="9915"/>
        <w:tblLayout w:type="fixed"/>
        <w:tblLook w:val="04A0" w:noVBand="1" w:noHBand="0" w:lastColumn="0" w:firstColumn="1" w:lastRow="0" w:firstRow="1"/>
      </w:tblPr>
      <w:tblGrid>
        <w:gridCol w:w="703"/>
        <w:gridCol w:w="1841"/>
        <w:gridCol w:w="1134"/>
        <w:gridCol w:w="1276"/>
        <w:gridCol w:w="1134"/>
        <w:gridCol w:w="1275"/>
        <w:gridCol w:w="1276"/>
        <w:gridCol w:w="1276"/>
      </w:tblGrid>
      <w:tr w:rsidTr="00834DB3" w:rsidR="00834DB3">
        <w:trPr>
          <w:trHeight w:val="1200"/>
        </w:trPr>
        <w:tc>
          <w:tcPr>
            <w:tcW w:type="dxa" w:w="704"/>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Red. br.</w:t>
            </w:r>
          </w:p>
        </w:tc>
        <w:tc>
          <w:tcPr>
            <w:tcW w:type="dxa" w:w="1843"/>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Opis</w:t>
            </w:r>
          </w:p>
        </w:tc>
        <w:tc>
          <w:tcPr>
            <w:tcW w:type="dxa" w:w="1134"/>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xml:space="preserve"> 10.03.15-31.12.15. </w:t>
            </w:r>
          </w:p>
        </w:tc>
        <w:tc>
          <w:tcPr>
            <w:tcW w:type="dxa" w:w="1276"/>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xml:space="preserve"> 01.01.16-31.12.16. </w:t>
            </w:r>
          </w:p>
        </w:tc>
        <w:tc>
          <w:tcPr>
            <w:tcW w:type="dxa" w:w="1134"/>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xml:space="preserve"> 01.01.17-31.01.17. </w:t>
            </w:r>
          </w:p>
        </w:tc>
        <w:tc>
          <w:tcPr>
            <w:tcW w:type="dxa" w:w="1275"/>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xml:space="preserve"> Ukupno </w:t>
            </w:r>
          </w:p>
        </w:tc>
        <w:tc>
          <w:tcPr>
            <w:tcW w:type="dxa" w:w="1276"/>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xml:space="preserve"> Predvidivo do okončanja stečajnog postupka </w:t>
            </w:r>
          </w:p>
        </w:tc>
        <w:tc>
          <w:tcPr>
            <w:tcW w:type="dxa" w:w="1276"/>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xml:space="preserve"> Sveukupno </w:t>
            </w:r>
          </w:p>
        </w:tc>
      </w:tr>
      <w:tr w:rsidTr="00834DB3" w:rsidR="00834DB3">
        <w:trPr>
          <w:trHeight w:val="3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1.</w:t>
            </w:r>
          </w:p>
        </w:tc>
        <w:tc>
          <w:tcPr>
            <w:tcW w:type="dxa" w:w="1843"/>
            <w:tcBorders>
              <w:top w:val="nil"/>
              <w:left w:val="nil"/>
              <w:bottom w:space="0" w:sz="4" w:color="auto" w:val="single"/>
              <w:right w:space="0" w:sz="4" w:color="auto" w:val="single"/>
            </w:tcBorders>
            <w:noWrap/>
            <w:vAlign w:val="center"/>
            <w:hideMark/>
          </w:tcPr>
          <w:p w:rsidRDefault="00834DB3" w:rsidR="00834DB3">
            <w:pPr>
              <w:rPr>
                <w:color w:val="000000"/>
                <w:sz w:val="24"/>
                <w:szCs w:val="24"/>
              </w:rPr>
            </w:pPr>
            <w:r>
              <w:rPr>
                <w:color w:val="000000"/>
              </w:rPr>
              <w:t>Naknada štete zbog poništenja ugovora</w:t>
            </w:r>
          </w:p>
        </w:tc>
        <w:tc>
          <w:tcPr>
            <w:tcW w:type="dxa" w:w="1134"/>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73.500,00    </w:t>
            </w:r>
          </w:p>
        </w:tc>
        <w:tc>
          <w:tcPr>
            <w:tcW w:type="dxa" w:w="1134"/>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73.500,00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73.500,00    </w:t>
            </w:r>
          </w:p>
        </w:tc>
      </w:tr>
      <w:tr w:rsidTr="00834DB3" w:rsidR="00834DB3">
        <w:trPr>
          <w:trHeight w:val="3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2.</w:t>
            </w:r>
          </w:p>
        </w:tc>
        <w:tc>
          <w:tcPr>
            <w:tcW w:type="dxa" w:w="1843"/>
            <w:tcBorders>
              <w:top w:val="nil"/>
              <w:left w:val="nil"/>
              <w:bottom w:space="0" w:sz="4" w:color="auto" w:val="single"/>
              <w:right w:space="0" w:sz="4" w:color="auto" w:val="single"/>
            </w:tcBorders>
            <w:noWrap/>
            <w:vAlign w:val="center"/>
            <w:hideMark/>
          </w:tcPr>
          <w:p w:rsidRDefault="00834DB3" w:rsidR="00834DB3">
            <w:pPr>
              <w:rPr>
                <w:color w:val="000000"/>
                <w:sz w:val="24"/>
                <w:szCs w:val="24"/>
              </w:rPr>
            </w:pPr>
            <w:r>
              <w:rPr>
                <w:color w:val="000000"/>
              </w:rPr>
              <w:t>Naplaćeno od kupaca u stečaju</w:t>
            </w:r>
          </w:p>
        </w:tc>
        <w:tc>
          <w:tcPr>
            <w:tcW w:type="dxa" w:w="1134"/>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92.200,00    </w:t>
            </w:r>
          </w:p>
        </w:tc>
        <w:tc>
          <w:tcPr>
            <w:tcW w:type="dxa" w:w="1134"/>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92.200,00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92.200,00    </w:t>
            </w:r>
          </w:p>
        </w:tc>
      </w:tr>
      <w:tr w:rsidTr="00834DB3" w:rsidR="00834DB3">
        <w:trPr>
          <w:trHeight w:val="3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3.</w:t>
            </w:r>
          </w:p>
        </w:tc>
        <w:tc>
          <w:tcPr>
            <w:tcW w:type="dxa" w:w="1843"/>
            <w:tcBorders>
              <w:top w:val="nil"/>
              <w:left w:val="nil"/>
              <w:bottom w:space="0" w:sz="4" w:color="auto" w:val="single"/>
              <w:right w:space="0" w:sz="4" w:color="auto" w:val="single"/>
            </w:tcBorders>
            <w:noWrap/>
            <w:vAlign w:val="center"/>
            <w:hideMark/>
          </w:tcPr>
          <w:p w:rsidRDefault="00834DB3" w:rsidR="00834DB3">
            <w:pPr>
              <w:rPr>
                <w:color w:val="000000"/>
                <w:sz w:val="24"/>
                <w:szCs w:val="24"/>
              </w:rPr>
            </w:pPr>
            <w:r>
              <w:rPr>
                <w:color w:val="000000"/>
              </w:rPr>
              <w:t>Pasivna kamata</w:t>
            </w:r>
          </w:p>
        </w:tc>
        <w:tc>
          <w:tcPr>
            <w:tcW w:type="dxa" w:w="1134"/>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4,06    </w:t>
            </w:r>
          </w:p>
        </w:tc>
        <w:tc>
          <w:tcPr>
            <w:tcW w:type="dxa" w:w="1134"/>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3,64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7,70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7,70    </w:t>
            </w:r>
          </w:p>
        </w:tc>
      </w:tr>
      <w:tr w:rsidTr="00834DB3" w:rsidR="00834DB3">
        <w:trPr>
          <w:trHeight w:val="330"/>
        </w:trPr>
        <w:tc>
          <w:tcPr>
            <w:tcW w:type="dxa" w:w="704"/>
            <w:tcBorders>
              <w:top w:val="nil"/>
              <w:left w:space="0" w:sz="4" w:color="auto" w:val="single"/>
              <w:bottom w:space="0" w:sz="4" w:color="auto" w:val="single"/>
              <w:right w:space="0" w:sz="4" w:color="auto" w:val="single"/>
            </w:tcBorders>
            <w:shd w:themeFillShade="F2" w:themeFill="background1" w:fill="F2F2F2" w:color="auto" w:val="clear"/>
            <w:noWrap/>
            <w:vAlign w:val="center"/>
            <w:hideMark/>
          </w:tcPr>
          <w:p w:rsidRDefault="00834DB3" w:rsidR="00834DB3">
            <w:pPr>
              <w:jc w:val="center"/>
              <w:rPr>
                <w:b/>
                <w:bCs/>
                <w:color w:val="000000"/>
                <w:sz w:val="24"/>
                <w:szCs w:val="24"/>
              </w:rPr>
            </w:pPr>
            <w:r>
              <w:rPr>
                <w:b/>
                <w:bCs/>
                <w:color w:val="000000"/>
              </w:rPr>
              <w:t>4.</w:t>
            </w:r>
          </w:p>
        </w:tc>
        <w:tc>
          <w:tcPr>
            <w:tcW w:type="dxa" w:w="1843"/>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rPr>
                <w:b/>
                <w:bCs/>
                <w:color w:val="000000"/>
                <w:sz w:val="24"/>
                <w:szCs w:val="24"/>
              </w:rPr>
            </w:pPr>
            <w:r>
              <w:rPr>
                <w:b/>
                <w:bCs/>
                <w:color w:val="000000"/>
              </w:rPr>
              <w:t xml:space="preserve">Ukupno novčani primici </w:t>
            </w:r>
          </w:p>
        </w:tc>
        <w:tc>
          <w:tcPr>
            <w:tcW w:type="dxa" w:w="1134"/>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         -      </w:t>
            </w:r>
          </w:p>
        </w:tc>
        <w:tc>
          <w:tcPr>
            <w:tcW w:type="dxa" w:w="1276"/>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165.704,06    </w:t>
            </w:r>
          </w:p>
        </w:tc>
        <w:tc>
          <w:tcPr>
            <w:tcW w:type="dxa" w:w="1134"/>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 3,64    </w:t>
            </w:r>
          </w:p>
        </w:tc>
        <w:tc>
          <w:tcPr>
            <w:tcW w:type="dxa" w:w="1275"/>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165.707,70    </w:t>
            </w:r>
          </w:p>
        </w:tc>
        <w:tc>
          <w:tcPr>
            <w:tcW w:type="dxa" w:w="1276"/>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          -      </w:t>
            </w:r>
          </w:p>
        </w:tc>
        <w:tc>
          <w:tcPr>
            <w:tcW w:type="dxa" w:w="1276"/>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165.707,70    </w:t>
            </w:r>
          </w:p>
        </w:tc>
      </w:tr>
    </w:tbl>
    <w:p w:rsidRDefault="00834DB3" w:rsidP="00834DB3" w:rsidR="00834DB3"/>
    <w:p w:rsidRDefault="00834DB3" w:rsidP="00834DB3" w:rsidR="00834DB3">
      <w:pPr>
        <w:pStyle w:val="Odlomakpopisa"/>
        <w:numPr>
          <w:ilvl w:val="0"/>
          <w:numId w:val="42"/>
        </w:numPr>
        <w:spacing w:lineRule="auto" w:line="254" w:after="160"/>
      </w:pPr>
      <w:r>
        <w:t>Pregled odljeva novčanih sredstava sa žiro računa</w:t>
      </w:r>
    </w:p>
    <w:tbl>
      <w:tblPr>
        <w:tblW w:type="dxa" w:w="9915"/>
        <w:tblLayout w:type="fixed"/>
        <w:tblLook w:val="04A0" w:noVBand="1" w:noHBand="0" w:lastColumn="0" w:firstColumn="1" w:lastRow="0" w:firstRow="1"/>
      </w:tblPr>
      <w:tblGrid>
        <w:gridCol w:w="703"/>
        <w:gridCol w:w="1841"/>
        <w:gridCol w:w="992"/>
        <w:gridCol w:w="1276"/>
        <w:gridCol w:w="1276"/>
        <w:gridCol w:w="1275"/>
        <w:gridCol w:w="1276"/>
        <w:gridCol w:w="1276"/>
      </w:tblGrid>
      <w:tr w:rsidTr="00834DB3" w:rsidR="00834DB3">
        <w:trPr>
          <w:trHeight w:val="1200"/>
        </w:trPr>
        <w:tc>
          <w:tcPr>
            <w:tcW w:type="dxa" w:w="704"/>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lastRenderedPageBreak/>
              <w:t>Red. br.</w:t>
            </w:r>
          </w:p>
        </w:tc>
        <w:tc>
          <w:tcPr>
            <w:tcW w:type="dxa" w:w="1843"/>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Opis</w:t>
            </w:r>
          </w:p>
        </w:tc>
        <w:tc>
          <w:tcPr>
            <w:tcW w:type="dxa" w:w="992"/>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xml:space="preserve">10.03.15-31.12.15. </w:t>
            </w:r>
          </w:p>
        </w:tc>
        <w:tc>
          <w:tcPr>
            <w:tcW w:type="dxa" w:w="1276"/>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xml:space="preserve"> 01.01.16-31.12.16. </w:t>
            </w:r>
          </w:p>
        </w:tc>
        <w:tc>
          <w:tcPr>
            <w:tcW w:type="dxa" w:w="1276"/>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xml:space="preserve"> 01.01.17-31.01.17. </w:t>
            </w:r>
          </w:p>
        </w:tc>
        <w:tc>
          <w:tcPr>
            <w:tcW w:type="dxa" w:w="1275"/>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xml:space="preserve"> Ukupno </w:t>
            </w:r>
          </w:p>
        </w:tc>
        <w:tc>
          <w:tcPr>
            <w:tcW w:type="dxa" w:w="1276"/>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xml:space="preserve"> Predvidivo do okončanja stečajnog postupka </w:t>
            </w:r>
          </w:p>
        </w:tc>
        <w:tc>
          <w:tcPr>
            <w:tcW w:type="dxa" w:w="1276"/>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xml:space="preserve"> Sveukupno </w:t>
            </w:r>
          </w:p>
        </w:tc>
      </w:tr>
      <w:tr w:rsidTr="00834DB3" w:rsidR="00834DB3">
        <w:trPr>
          <w:trHeight w:val="3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1.</w:t>
            </w:r>
          </w:p>
        </w:tc>
        <w:tc>
          <w:tcPr>
            <w:tcW w:type="dxa" w:w="1843"/>
            <w:tcBorders>
              <w:top w:val="nil"/>
              <w:left w:val="nil"/>
              <w:bottom w:space="0" w:sz="4" w:color="auto" w:val="single"/>
              <w:right w:space="0" w:sz="4" w:color="auto" w:val="single"/>
            </w:tcBorders>
            <w:vAlign w:val="center"/>
            <w:hideMark/>
          </w:tcPr>
          <w:p w:rsidRDefault="00834DB3" w:rsidR="00834DB3">
            <w:pPr>
              <w:rPr>
                <w:color w:val="000000"/>
                <w:sz w:val="24"/>
                <w:szCs w:val="24"/>
              </w:rPr>
            </w:pPr>
            <w:r>
              <w:rPr>
                <w:color w:val="000000"/>
              </w:rPr>
              <w:t>Obveze prema dobavljačima u stečaju</w:t>
            </w:r>
          </w:p>
        </w:tc>
        <w:tc>
          <w:tcPr>
            <w:tcW w:type="dxa" w:w="992"/>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13.950,00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17.500,00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31.450,00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31.450,00    </w:t>
            </w:r>
          </w:p>
        </w:tc>
      </w:tr>
      <w:tr w:rsidTr="00834DB3" w:rsidR="00834DB3">
        <w:trPr>
          <w:trHeight w:val="3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 </w:t>
            </w:r>
          </w:p>
        </w:tc>
        <w:tc>
          <w:tcPr>
            <w:tcW w:type="dxa" w:w="1843"/>
            <w:tcBorders>
              <w:top w:val="nil"/>
              <w:left w:val="nil"/>
              <w:bottom w:space="0" w:sz="4" w:color="auto" w:val="single"/>
              <w:right w:space="0" w:sz="4" w:color="auto" w:val="single"/>
            </w:tcBorders>
            <w:vAlign w:val="center"/>
            <w:hideMark/>
          </w:tcPr>
          <w:p w:rsidRDefault="00834DB3" w:rsidR="00834DB3">
            <w:pPr>
              <w:rPr>
                <w:sz w:val="24"/>
                <w:szCs w:val="24"/>
              </w:rPr>
            </w:pPr>
            <w:r>
              <w:t>FIDES obrt</w:t>
            </w:r>
          </w:p>
        </w:tc>
        <w:tc>
          <w:tcPr>
            <w:tcW w:type="dxa" w:w="992"/>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12.500,00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12.500,00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12.500,00    </w:t>
            </w:r>
          </w:p>
        </w:tc>
      </w:tr>
      <w:tr w:rsidTr="00834DB3" w:rsidR="00834DB3">
        <w:trPr>
          <w:trHeight w:val="3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 </w:t>
            </w:r>
          </w:p>
        </w:tc>
        <w:tc>
          <w:tcPr>
            <w:tcW w:type="dxa" w:w="1843"/>
            <w:tcBorders>
              <w:top w:val="nil"/>
              <w:left w:val="nil"/>
              <w:bottom w:space="0" w:sz="4" w:color="auto" w:val="single"/>
              <w:right w:space="0" w:sz="4" w:color="auto" w:val="single"/>
            </w:tcBorders>
            <w:vAlign w:val="center"/>
            <w:hideMark/>
          </w:tcPr>
          <w:p w:rsidRDefault="00834DB3" w:rsidR="00834DB3">
            <w:pPr>
              <w:rPr>
                <w:sz w:val="24"/>
                <w:szCs w:val="24"/>
              </w:rPr>
            </w:pPr>
            <w:r>
              <w:t>FILMOTEKA d.o.o.</w:t>
            </w:r>
          </w:p>
        </w:tc>
        <w:tc>
          <w:tcPr>
            <w:tcW w:type="dxa" w:w="992"/>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 xml:space="preserve">1.050,00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1.050,00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1.050,00    </w:t>
            </w:r>
          </w:p>
        </w:tc>
      </w:tr>
      <w:tr w:rsidTr="00834DB3" w:rsidR="00834DB3">
        <w:trPr>
          <w:trHeight w:val="3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 </w:t>
            </w:r>
          </w:p>
        </w:tc>
        <w:tc>
          <w:tcPr>
            <w:tcW w:type="dxa" w:w="1843"/>
            <w:tcBorders>
              <w:top w:val="nil"/>
              <w:left w:val="nil"/>
              <w:bottom w:space="0" w:sz="4" w:color="auto" w:val="single"/>
              <w:right w:space="0" w:sz="4" w:color="auto" w:val="single"/>
            </w:tcBorders>
            <w:vAlign w:val="center"/>
            <w:hideMark/>
          </w:tcPr>
          <w:p w:rsidRDefault="00834DB3" w:rsidR="00834DB3">
            <w:pPr>
              <w:rPr>
                <w:sz w:val="24"/>
                <w:szCs w:val="24"/>
              </w:rPr>
            </w:pPr>
            <w:r>
              <w:t xml:space="preserve">GLAS SLAVONIJE </w:t>
            </w:r>
          </w:p>
        </w:tc>
        <w:tc>
          <w:tcPr>
            <w:tcW w:type="dxa" w:w="992"/>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 xml:space="preserve">11.000,00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11.000,00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11.000,00    </w:t>
            </w:r>
          </w:p>
        </w:tc>
      </w:tr>
      <w:tr w:rsidTr="00834DB3" w:rsidR="00834DB3">
        <w:trPr>
          <w:trHeight w:val="6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 </w:t>
            </w:r>
          </w:p>
        </w:tc>
        <w:tc>
          <w:tcPr>
            <w:tcW w:type="dxa" w:w="1843"/>
            <w:tcBorders>
              <w:top w:val="nil"/>
              <w:left w:val="nil"/>
              <w:bottom w:space="0" w:sz="4" w:color="auto" w:val="single"/>
              <w:right w:space="0" w:sz="4" w:color="auto" w:val="single"/>
            </w:tcBorders>
            <w:vAlign w:val="center"/>
            <w:hideMark/>
          </w:tcPr>
          <w:p w:rsidRDefault="00834DB3" w:rsidR="00834DB3">
            <w:pPr>
              <w:rPr>
                <w:sz w:val="24"/>
                <w:szCs w:val="24"/>
              </w:rPr>
            </w:pPr>
            <w:r>
              <w:t>Obrt za vještačenja u građ. vl. Zvonimir Rogač</w:t>
            </w:r>
          </w:p>
        </w:tc>
        <w:tc>
          <w:tcPr>
            <w:tcW w:type="dxa" w:w="992"/>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 xml:space="preserve">1.900,00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1.900,00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1.900,00    </w:t>
            </w:r>
          </w:p>
        </w:tc>
      </w:tr>
      <w:tr w:rsidTr="00834DB3" w:rsidR="00834DB3">
        <w:trPr>
          <w:trHeight w:val="3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 </w:t>
            </w:r>
          </w:p>
        </w:tc>
        <w:tc>
          <w:tcPr>
            <w:tcW w:type="dxa" w:w="1843"/>
            <w:tcBorders>
              <w:top w:val="nil"/>
              <w:left w:val="nil"/>
              <w:bottom w:space="0" w:sz="4" w:color="auto" w:val="single"/>
              <w:right w:space="0" w:sz="4" w:color="auto" w:val="single"/>
            </w:tcBorders>
            <w:vAlign w:val="center"/>
            <w:hideMark/>
          </w:tcPr>
          <w:p w:rsidRDefault="00834DB3" w:rsidR="00834DB3">
            <w:pPr>
              <w:rPr>
                <w:sz w:val="24"/>
                <w:szCs w:val="24"/>
              </w:rPr>
            </w:pPr>
            <w:r>
              <w:t>Odvj. Gagro Nada</w:t>
            </w:r>
          </w:p>
        </w:tc>
        <w:tc>
          <w:tcPr>
            <w:tcW w:type="dxa" w:w="992"/>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sz w:val="24"/>
                <w:szCs w:val="24"/>
              </w:rPr>
            </w:pPr>
            <w: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5.000,00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5.000,00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5.000,00    </w:t>
            </w:r>
          </w:p>
        </w:tc>
      </w:tr>
      <w:tr w:rsidTr="00834DB3" w:rsidR="00834DB3">
        <w:trPr>
          <w:trHeight w:val="3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2.</w:t>
            </w:r>
          </w:p>
        </w:tc>
        <w:tc>
          <w:tcPr>
            <w:tcW w:type="dxa" w:w="1843"/>
            <w:tcBorders>
              <w:top w:val="nil"/>
              <w:left w:val="nil"/>
              <w:bottom w:space="0" w:sz="4" w:color="auto" w:val="single"/>
              <w:right w:space="0" w:sz="4" w:color="auto" w:val="single"/>
            </w:tcBorders>
            <w:vAlign w:val="center"/>
            <w:hideMark/>
          </w:tcPr>
          <w:p w:rsidRDefault="00834DB3" w:rsidR="00834DB3">
            <w:pPr>
              <w:rPr>
                <w:color w:val="000000"/>
                <w:sz w:val="24"/>
                <w:szCs w:val="24"/>
              </w:rPr>
            </w:pPr>
            <w:r>
              <w:rPr>
                <w:color w:val="000000"/>
              </w:rPr>
              <w:t>Nagrada stečajnom upravitelju</w:t>
            </w:r>
          </w:p>
        </w:tc>
        <w:tc>
          <w:tcPr>
            <w:tcW w:type="dxa" w:w="992"/>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62.720,00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62.720,00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62.720,00    </w:t>
            </w:r>
          </w:p>
        </w:tc>
      </w:tr>
      <w:tr w:rsidTr="00834DB3" w:rsidR="00834DB3">
        <w:trPr>
          <w:trHeight w:val="3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3.</w:t>
            </w:r>
          </w:p>
        </w:tc>
        <w:tc>
          <w:tcPr>
            <w:tcW w:type="dxa" w:w="1843"/>
            <w:tcBorders>
              <w:top w:val="nil"/>
              <w:left w:val="nil"/>
              <w:bottom w:space="0" w:sz="4" w:color="auto" w:val="single"/>
              <w:right w:space="0" w:sz="4" w:color="auto" w:val="single"/>
            </w:tcBorders>
            <w:vAlign w:val="center"/>
            <w:hideMark/>
          </w:tcPr>
          <w:p w:rsidRDefault="00834DB3" w:rsidR="00834DB3">
            <w:pPr>
              <w:rPr>
                <w:color w:val="000000"/>
                <w:sz w:val="24"/>
                <w:szCs w:val="24"/>
              </w:rPr>
            </w:pPr>
            <w:r>
              <w:rPr>
                <w:color w:val="000000"/>
              </w:rPr>
              <w:t>Troškovi PP, e-fina kartica i dr.tr.</w:t>
            </w:r>
          </w:p>
        </w:tc>
        <w:tc>
          <w:tcPr>
            <w:tcW w:type="dxa" w:w="992"/>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910,25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52,75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963,00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1.828,38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2.791,38</w:t>
            </w:r>
          </w:p>
        </w:tc>
      </w:tr>
      <w:tr w:rsidTr="00834DB3" w:rsidR="00834DB3">
        <w:trPr>
          <w:trHeight w:val="6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4.</w:t>
            </w:r>
          </w:p>
        </w:tc>
        <w:tc>
          <w:tcPr>
            <w:tcW w:type="dxa" w:w="1843"/>
            <w:tcBorders>
              <w:top w:val="nil"/>
              <w:left w:val="nil"/>
              <w:bottom w:space="0" w:sz="4" w:color="auto" w:val="single"/>
              <w:right w:space="0" w:sz="4" w:color="auto" w:val="single"/>
            </w:tcBorders>
            <w:vAlign w:val="center"/>
            <w:hideMark/>
          </w:tcPr>
          <w:p w:rsidRDefault="00834DB3" w:rsidR="00834DB3">
            <w:pPr>
              <w:rPr>
                <w:color w:val="000000"/>
                <w:sz w:val="24"/>
                <w:szCs w:val="24"/>
              </w:rPr>
            </w:pPr>
            <w:r>
              <w:rPr>
                <w:color w:val="000000"/>
              </w:rPr>
              <w:t>Ostali troškovi (poštarina, biljezi, pečat, uredski materijal)</w:t>
            </w:r>
          </w:p>
        </w:tc>
        <w:tc>
          <w:tcPr>
            <w:tcW w:type="dxa" w:w="992"/>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290,76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290,76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290,76    </w:t>
            </w:r>
          </w:p>
        </w:tc>
      </w:tr>
      <w:tr w:rsidTr="00834DB3" w:rsidR="00834DB3">
        <w:trPr>
          <w:trHeight w:val="3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5.</w:t>
            </w:r>
          </w:p>
        </w:tc>
        <w:tc>
          <w:tcPr>
            <w:tcW w:type="dxa" w:w="1843"/>
            <w:tcBorders>
              <w:top w:val="nil"/>
              <w:left w:val="nil"/>
              <w:bottom w:space="0" w:sz="4" w:color="auto" w:val="single"/>
              <w:right w:space="0" w:sz="4" w:color="auto" w:val="single"/>
            </w:tcBorders>
            <w:vAlign w:val="center"/>
            <w:hideMark/>
          </w:tcPr>
          <w:p w:rsidRDefault="00834DB3" w:rsidR="00834DB3">
            <w:pPr>
              <w:rPr>
                <w:color w:val="000000"/>
                <w:sz w:val="24"/>
                <w:szCs w:val="24"/>
              </w:rPr>
            </w:pPr>
            <w:r>
              <w:rPr>
                <w:color w:val="000000"/>
              </w:rPr>
              <w:t>Sudska pristojba za završno ročište</w:t>
            </w:r>
          </w:p>
        </w:tc>
        <w:tc>
          <w:tcPr>
            <w:tcW w:type="dxa" w:w="992"/>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2.000,00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2.000,00    </w:t>
            </w:r>
          </w:p>
        </w:tc>
      </w:tr>
      <w:tr w:rsidTr="00834DB3" w:rsidR="00834DB3">
        <w:trPr>
          <w:trHeight w:val="6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6.</w:t>
            </w:r>
          </w:p>
        </w:tc>
        <w:tc>
          <w:tcPr>
            <w:tcW w:type="dxa" w:w="1843"/>
            <w:tcBorders>
              <w:top w:val="nil"/>
              <w:left w:val="nil"/>
              <w:bottom w:space="0" w:sz="4" w:color="auto" w:val="single"/>
              <w:right w:space="0" w:sz="4" w:color="auto" w:val="single"/>
            </w:tcBorders>
            <w:vAlign w:val="center"/>
            <w:hideMark/>
          </w:tcPr>
          <w:p w:rsidRDefault="00834DB3" w:rsidR="00834DB3">
            <w:pPr>
              <w:rPr>
                <w:color w:val="000000"/>
                <w:sz w:val="24"/>
                <w:szCs w:val="24"/>
              </w:rPr>
            </w:pPr>
            <w:r>
              <w:rPr>
                <w:color w:val="000000"/>
              </w:rPr>
              <w:t>Namirenje vjerovnika I višeg isplatnog reda</w:t>
            </w:r>
          </w:p>
        </w:tc>
        <w:tc>
          <w:tcPr>
            <w:tcW w:type="dxa" w:w="992"/>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66.455,56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66.455,56    </w:t>
            </w:r>
          </w:p>
        </w:tc>
      </w:tr>
      <w:tr w:rsidTr="00834DB3" w:rsidR="00834DB3">
        <w:trPr>
          <w:trHeight w:val="330"/>
        </w:trPr>
        <w:tc>
          <w:tcPr>
            <w:tcW w:type="dxa" w:w="704"/>
            <w:tcBorders>
              <w:top w:val="nil"/>
              <w:left w:space="0" w:sz="4" w:color="auto" w:val="single"/>
              <w:bottom w:space="0" w:sz="4" w:color="auto" w:val="single"/>
              <w:right w:space="0" w:sz="4" w:color="auto" w:val="single"/>
            </w:tcBorders>
            <w:shd w:themeFillShade="F2" w:themeFill="background1" w:fill="F2F2F2" w:color="auto" w:val="clear"/>
            <w:noWrap/>
            <w:vAlign w:val="center"/>
            <w:hideMark/>
          </w:tcPr>
          <w:p w:rsidRDefault="00834DB3" w:rsidR="00834DB3">
            <w:pPr>
              <w:jc w:val="center"/>
              <w:rPr>
                <w:b/>
                <w:bCs/>
                <w:color w:val="000000"/>
                <w:sz w:val="24"/>
                <w:szCs w:val="24"/>
              </w:rPr>
            </w:pPr>
            <w:r>
              <w:rPr>
                <w:b/>
                <w:bCs/>
                <w:color w:val="000000"/>
              </w:rPr>
              <w:t>7.</w:t>
            </w:r>
          </w:p>
        </w:tc>
        <w:tc>
          <w:tcPr>
            <w:tcW w:type="dxa" w:w="1843"/>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rPr>
                <w:b/>
                <w:bCs/>
                <w:color w:val="000000"/>
                <w:sz w:val="24"/>
                <w:szCs w:val="24"/>
              </w:rPr>
            </w:pPr>
            <w:r>
              <w:rPr>
                <w:b/>
                <w:bCs/>
                <w:color w:val="000000"/>
              </w:rPr>
              <w:t xml:space="preserve">Ukupno novčani izdaci </w:t>
            </w:r>
          </w:p>
        </w:tc>
        <w:tc>
          <w:tcPr>
            <w:tcW w:type="dxa" w:w="992"/>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      -      </w:t>
            </w:r>
          </w:p>
        </w:tc>
        <w:tc>
          <w:tcPr>
            <w:tcW w:type="dxa" w:w="1276"/>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77.871,01    </w:t>
            </w:r>
          </w:p>
        </w:tc>
        <w:tc>
          <w:tcPr>
            <w:tcW w:type="dxa" w:w="1276"/>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17.552,75    </w:t>
            </w:r>
          </w:p>
        </w:tc>
        <w:tc>
          <w:tcPr>
            <w:tcW w:type="dxa" w:w="1275"/>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95.423,76    </w:t>
            </w:r>
          </w:p>
        </w:tc>
        <w:tc>
          <w:tcPr>
            <w:tcW w:type="dxa" w:w="1276"/>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 70.283,94    </w:t>
            </w:r>
          </w:p>
        </w:tc>
        <w:tc>
          <w:tcPr>
            <w:tcW w:type="dxa" w:w="1276"/>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165.707,70</w:t>
            </w:r>
          </w:p>
        </w:tc>
      </w:tr>
    </w:tbl>
    <w:p w:rsidRDefault="00834DB3" w:rsidP="00834DB3" w:rsidR="00834DB3">
      <w:pPr>
        <w:pStyle w:val="Odlomakpopisa"/>
        <w:numPr>
          <w:ilvl w:val="0"/>
          <w:numId w:val="42"/>
        </w:numPr>
        <w:spacing w:lineRule="auto" w:line="254" w:after="160"/>
        <w:jc w:val="both"/>
      </w:pPr>
      <w:r>
        <w:t>Rekapitulacija priljeva i odljeva novčanih sredstava u razdoblju od 10.03.2015. godine do okončanja stečajnog postupka</w:t>
      </w:r>
    </w:p>
    <w:p w:rsidRDefault="00834DB3" w:rsidP="00834DB3" w:rsidR="00834DB3"/>
    <w:tbl>
      <w:tblPr>
        <w:tblW w:type="dxa" w:w="9915"/>
        <w:tblLayout w:type="fixed"/>
        <w:tblLook w:val="04A0" w:noVBand="1" w:noHBand="0" w:lastColumn="0" w:firstColumn="1" w:lastRow="0" w:firstRow="1"/>
      </w:tblPr>
      <w:tblGrid>
        <w:gridCol w:w="703"/>
        <w:gridCol w:w="2162"/>
        <w:gridCol w:w="813"/>
        <w:gridCol w:w="1276"/>
        <w:gridCol w:w="1275"/>
        <w:gridCol w:w="1276"/>
        <w:gridCol w:w="1134"/>
        <w:gridCol w:w="1276"/>
      </w:tblGrid>
      <w:tr w:rsidTr="00834DB3" w:rsidR="00834DB3">
        <w:trPr>
          <w:trHeight w:val="1200"/>
        </w:trPr>
        <w:tc>
          <w:tcPr>
            <w:tcW w:type="dxa" w:w="704"/>
            <w:tcBorders>
              <w:top w:space="0" w:sz="4" w:color="auto" w:val="single"/>
              <w:left w:space="0" w:sz="4" w:color="auto" w:val="single"/>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lastRenderedPageBreak/>
              <w:t>Red. br.</w:t>
            </w:r>
          </w:p>
        </w:tc>
        <w:tc>
          <w:tcPr>
            <w:tcW w:type="dxa" w:w="2164"/>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Opis</w:t>
            </w:r>
          </w:p>
        </w:tc>
        <w:tc>
          <w:tcPr>
            <w:tcW w:type="dxa" w:w="813"/>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10.03.</w:t>
            </w:r>
          </w:p>
          <w:p w:rsidRDefault="00834DB3" w:rsidR="00834DB3">
            <w:pPr>
              <w:jc w:val="center"/>
              <w:rPr>
                <w:color w:val="000000"/>
              </w:rPr>
            </w:pPr>
            <w:r>
              <w:rPr>
                <w:color w:val="000000"/>
              </w:rPr>
              <w:t>2015-31.12.</w:t>
            </w:r>
          </w:p>
          <w:p w:rsidRDefault="00834DB3" w:rsidR="00834DB3">
            <w:pPr>
              <w:jc w:val="center"/>
              <w:rPr>
                <w:color w:val="000000"/>
                <w:sz w:val="24"/>
                <w:szCs w:val="24"/>
              </w:rPr>
            </w:pPr>
            <w:r>
              <w:rPr>
                <w:color w:val="000000"/>
              </w:rPr>
              <w:t>2015.</w:t>
            </w:r>
          </w:p>
        </w:tc>
        <w:tc>
          <w:tcPr>
            <w:tcW w:type="dxa" w:w="1276"/>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01.01.16-31.12.16.</w:t>
            </w:r>
          </w:p>
        </w:tc>
        <w:tc>
          <w:tcPr>
            <w:tcW w:type="dxa" w:w="1275"/>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01.01.17-31.01.17.</w:t>
            </w:r>
          </w:p>
        </w:tc>
        <w:tc>
          <w:tcPr>
            <w:tcW w:type="dxa" w:w="1276"/>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Ukupno</w:t>
            </w:r>
          </w:p>
        </w:tc>
        <w:tc>
          <w:tcPr>
            <w:tcW w:type="dxa" w:w="1134"/>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Predvidivo do okončanja stečajnog postupka</w:t>
            </w:r>
          </w:p>
        </w:tc>
        <w:tc>
          <w:tcPr>
            <w:tcW w:type="dxa" w:w="1276"/>
            <w:tcBorders>
              <w:top w:space="0" w:sz="4" w:color="auto" w:val="single"/>
              <w:left w:val="nil"/>
              <w:bottom w:space="0" w:sz="4"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Sveukupno</w:t>
            </w:r>
          </w:p>
        </w:tc>
      </w:tr>
      <w:tr w:rsidTr="00834DB3" w:rsidR="00834DB3">
        <w:trPr>
          <w:trHeight w:val="300"/>
        </w:trPr>
        <w:tc>
          <w:tcPr>
            <w:tcW w:type="dxa" w:w="704"/>
            <w:tcBorders>
              <w:top w:val="nil"/>
              <w:left w:space="0" w:sz="4" w:color="auto" w:val="single"/>
              <w:bottom w:space="0" w:sz="4" w:color="auto" w:val="single"/>
              <w:right w:space="0" w:sz="4" w:color="auto" w:val="single"/>
            </w:tcBorders>
            <w:vAlign w:val="center"/>
            <w:hideMark/>
          </w:tcPr>
          <w:p w:rsidRDefault="00834DB3" w:rsidR="00834DB3">
            <w:pPr>
              <w:jc w:val="center"/>
              <w:rPr>
                <w:color w:val="000000"/>
                <w:sz w:val="24"/>
                <w:szCs w:val="24"/>
              </w:rPr>
            </w:pPr>
            <w:r>
              <w:rPr>
                <w:color w:val="000000"/>
              </w:rPr>
              <w:t>I</w:t>
            </w:r>
          </w:p>
        </w:tc>
        <w:tc>
          <w:tcPr>
            <w:tcW w:type="dxa" w:w="2164"/>
            <w:tcBorders>
              <w:top w:val="nil"/>
              <w:left w:val="nil"/>
              <w:bottom w:space="0" w:sz="4" w:color="auto" w:val="single"/>
              <w:right w:space="0" w:sz="4" w:color="auto" w:val="single"/>
            </w:tcBorders>
            <w:noWrap/>
            <w:vAlign w:val="center"/>
            <w:hideMark/>
          </w:tcPr>
          <w:p w:rsidRDefault="00834DB3" w:rsidR="00834DB3">
            <w:pPr>
              <w:rPr>
                <w:color w:val="000000"/>
                <w:sz w:val="24"/>
                <w:szCs w:val="24"/>
              </w:rPr>
            </w:pPr>
            <w:r>
              <w:rPr>
                <w:color w:val="000000"/>
              </w:rPr>
              <w:t>NOVČANI PRIMITCI NA ŽIRO RAČUN</w:t>
            </w:r>
          </w:p>
        </w:tc>
        <w:tc>
          <w:tcPr>
            <w:tcW w:type="dxa" w:w="813"/>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165.704,06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3,64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165.707,70    </w:t>
            </w:r>
          </w:p>
        </w:tc>
        <w:tc>
          <w:tcPr>
            <w:tcW w:type="dxa" w:w="1134"/>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165.707,70    </w:t>
            </w:r>
          </w:p>
        </w:tc>
      </w:tr>
      <w:tr w:rsidTr="00834DB3" w:rsidR="00834DB3">
        <w:trPr>
          <w:trHeight w:val="300"/>
        </w:trPr>
        <w:tc>
          <w:tcPr>
            <w:tcW w:type="dxa" w:w="704"/>
            <w:tcBorders>
              <w:top w:val="nil"/>
              <w:left w:space="0" w:sz="4" w:color="auto" w:val="single"/>
              <w:bottom w:space="0" w:sz="4" w:color="auto" w:val="single"/>
              <w:right w:space="0" w:sz="4" w:color="auto" w:val="single"/>
            </w:tcBorders>
            <w:vAlign w:val="center"/>
            <w:hideMark/>
          </w:tcPr>
          <w:p w:rsidRDefault="00834DB3" w:rsidR="00834DB3">
            <w:pPr>
              <w:jc w:val="center"/>
              <w:rPr>
                <w:color w:val="000000"/>
                <w:sz w:val="24"/>
                <w:szCs w:val="24"/>
              </w:rPr>
            </w:pPr>
            <w:r>
              <w:rPr>
                <w:color w:val="000000"/>
              </w:rPr>
              <w:t>II</w:t>
            </w:r>
          </w:p>
        </w:tc>
        <w:tc>
          <w:tcPr>
            <w:tcW w:type="dxa" w:w="2164"/>
            <w:tcBorders>
              <w:top w:val="nil"/>
              <w:left w:val="nil"/>
              <w:bottom w:space="0" w:sz="4" w:color="auto" w:val="single"/>
              <w:right w:space="0" w:sz="4" w:color="auto" w:val="single"/>
            </w:tcBorders>
            <w:noWrap/>
            <w:vAlign w:val="center"/>
            <w:hideMark/>
          </w:tcPr>
          <w:p w:rsidRDefault="00834DB3" w:rsidR="00834DB3">
            <w:pPr>
              <w:rPr>
                <w:color w:val="000000"/>
                <w:sz w:val="24"/>
                <w:szCs w:val="24"/>
              </w:rPr>
            </w:pPr>
            <w:r>
              <w:rPr>
                <w:color w:val="000000"/>
              </w:rPr>
              <w:t>NOVČANI IZDACI SA ŽIRO RAČUNA</w:t>
            </w:r>
          </w:p>
        </w:tc>
        <w:tc>
          <w:tcPr>
            <w:tcW w:type="dxa" w:w="813"/>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77.871,01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17.552,75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95.423,76    </w:t>
            </w:r>
          </w:p>
        </w:tc>
        <w:tc>
          <w:tcPr>
            <w:tcW w:type="dxa" w:w="1134"/>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70.283,94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165.707,70</w:t>
            </w:r>
          </w:p>
        </w:tc>
      </w:tr>
      <w:tr w:rsidTr="00834DB3" w:rsidR="00834DB3">
        <w:trPr>
          <w:trHeight w:val="6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III</w:t>
            </w:r>
          </w:p>
        </w:tc>
        <w:tc>
          <w:tcPr>
            <w:tcW w:type="dxa" w:w="2164"/>
            <w:tcBorders>
              <w:top w:val="nil"/>
              <w:left w:val="nil"/>
              <w:bottom w:space="0" w:sz="4" w:color="auto" w:val="single"/>
              <w:right w:space="0" w:sz="4" w:color="auto" w:val="single"/>
            </w:tcBorders>
            <w:vAlign w:val="center"/>
            <w:hideMark/>
          </w:tcPr>
          <w:p w:rsidRDefault="00834DB3" w:rsidR="00834DB3">
            <w:pPr>
              <w:rPr>
                <w:color w:val="000000"/>
                <w:sz w:val="24"/>
                <w:szCs w:val="24"/>
              </w:rPr>
            </w:pPr>
            <w:r>
              <w:rPr>
                <w:color w:val="000000"/>
              </w:rPr>
              <w:t>Povećanje / smanjenje novčanih sredstava</w:t>
            </w:r>
          </w:p>
        </w:tc>
        <w:tc>
          <w:tcPr>
            <w:tcW w:type="dxa" w:w="813"/>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87.833,05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-17.549,11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70.283,94    </w:t>
            </w:r>
          </w:p>
        </w:tc>
        <w:tc>
          <w:tcPr>
            <w:tcW w:type="dxa" w:w="1134"/>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-70.283,94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    </w:t>
            </w:r>
          </w:p>
        </w:tc>
      </w:tr>
      <w:tr w:rsidTr="00834DB3" w:rsidR="00834DB3">
        <w:trPr>
          <w:trHeight w:val="600"/>
        </w:trPr>
        <w:tc>
          <w:tcPr>
            <w:tcW w:type="dxa" w:w="704"/>
            <w:tcBorders>
              <w:top w:val="nil"/>
              <w:left w:space="0" w:sz="4"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IV</w:t>
            </w:r>
          </w:p>
        </w:tc>
        <w:tc>
          <w:tcPr>
            <w:tcW w:type="dxa" w:w="2164"/>
            <w:tcBorders>
              <w:top w:val="nil"/>
              <w:left w:val="nil"/>
              <w:bottom w:space="0" w:sz="4" w:color="auto" w:val="single"/>
              <w:right w:space="0" w:sz="4" w:color="auto" w:val="single"/>
            </w:tcBorders>
            <w:vAlign w:val="center"/>
            <w:hideMark/>
          </w:tcPr>
          <w:p w:rsidRDefault="00834DB3" w:rsidR="00834DB3">
            <w:pPr>
              <w:rPr>
                <w:color w:val="000000"/>
                <w:sz w:val="24"/>
                <w:szCs w:val="24"/>
              </w:rPr>
            </w:pPr>
            <w:r>
              <w:rPr>
                <w:color w:val="000000"/>
              </w:rPr>
              <w:t>Stanje novčanih sredstava na početku izvještajnog razdoblja</w:t>
            </w:r>
          </w:p>
        </w:tc>
        <w:tc>
          <w:tcPr>
            <w:tcW w:type="dxa" w:w="813"/>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      </w:t>
            </w:r>
          </w:p>
        </w:tc>
        <w:tc>
          <w:tcPr>
            <w:tcW w:type="dxa" w:w="1275"/>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87.833,05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      </w:t>
            </w:r>
          </w:p>
        </w:tc>
        <w:tc>
          <w:tcPr>
            <w:tcW w:type="dxa" w:w="1134"/>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70.283,94    </w:t>
            </w:r>
          </w:p>
        </w:tc>
        <w:tc>
          <w:tcPr>
            <w:tcW w:type="dxa" w:w="1276"/>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      </w:t>
            </w:r>
          </w:p>
        </w:tc>
      </w:tr>
      <w:tr w:rsidTr="00834DB3" w:rsidR="00834DB3">
        <w:trPr>
          <w:trHeight w:val="660"/>
        </w:trPr>
        <w:tc>
          <w:tcPr>
            <w:tcW w:type="dxa" w:w="704"/>
            <w:tcBorders>
              <w:top w:val="nil"/>
              <w:left w:space="0" w:sz="4" w:color="auto" w:val="single"/>
              <w:bottom w:space="0" w:sz="4" w:color="auto" w:val="single"/>
              <w:right w:space="0" w:sz="4" w:color="auto" w:val="single"/>
            </w:tcBorders>
            <w:shd w:themeFillShade="F2" w:themeFill="background1" w:fill="F2F2F2" w:color="auto" w:val="clear"/>
            <w:noWrap/>
            <w:vAlign w:val="center"/>
            <w:hideMark/>
          </w:tcPr>
          <w:p w:rsidRDefault="00834DB3" w:rsidR="00834DB3">
            <w:pPr>
              <w:jc w:val="center"/>
              <w:rPr>
                <w:b/>
                <w:bCs/>
                <w:color w:val="000000"/>
                <w:sz w:val="24"/>
                <w:szCs w:val="24"/>
              </w:rPr>
            </w:pPr>
            <w:r>
              <w:rPr>
                <w:b/>
                <w:bCs/>
                <w:color w:val="000000"/>
              </w:rPr>
              <w:t>V</w:t>
            </w:r>
          </w:p>
        </w:tc>
        <w:tc>
          <w:tcPr>
            <w:tcW w:type="dxa" w:w="2164"/>
            <w:tcBorders>
              <w:top w:val="nil"/>
              <w:left w:val="nil"/>
              <w:bottom w:space="0" w:sz="4" w:color="auto" w:val="single"/>
              <w:right w:space="0" w:sz="4" w:color="auto" w:val="single"/>
            </w:tcBorders>
            <w:shd w:themeFillShade="F2" w:themeFill="background1" w:fill="F2F2F2" w:color="auto" w:val="clear"/>
            <w:vAlign w:val="center"/>
            <w:hideMark/>
          </w:tcPr>
          <w:p w:rsidRDefault="00834DB3" w:rsidR="00834DB3">
            <w:pPr>
              <w:rPr>
                <w:b/>
                <w:bCs/>
                <w:color w:val="000000"/>
                <w:sz w:val="24"/>
                <w:szCs w:val="24"/>
              </w:rPr>
            </w:pPr>
            <w:r>
              <w:rPr>
                <w:b/>
                <w:bCs/>
                <w:color w:val="000000"/>
              </w:rPr>
              <w:t>Stanje novčanih sredstava na kraju izvještajnog razdoblja</w:t>
            </w:r>
          </w:p>
        </w:tc>
        <w:tc>
          <w:tcPr>
            <w:tcW w:type="dxa" w:w="813"/>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      -      </w:t>
            </w:r>
          </w:p>
        </w:tc>
        <w:tc>
          <w:tcPr>
            <w:tcW w:type="dxa" w:w="1276"/>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87.833,05    </w:t>
            </w:r>
          </w:p>
        </w:tc>
        <w:tc>
          <w:tcPr>
            <w:tcW w:type="dxa" w:w="1275"/>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70.283,94    </w:t>
            </w:r>
          </w:p>
        </w:tc>
        <w:tc>
          <w:tcPr>
            <w:tcW w:type="dxa" w:w="1276"/>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70.283,94    </w:t>
            </w:r>
          </w:p>
        </w:tc>
        <w:tc>
          <w:tcPr>
            <w:tcW w:type="dxa" w:w="1134"/>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w:t>
            </w:r>
          </w:p>
        </w:tc>
        <w:tc>
          <w:tcPr>
            <w:tcW w:type="dxa" w:w="1276"/>
            <w:tcBorders>
              <w:top w:val="nil"/>
              <w:left w:val="nil"/>
              <w:bottom w:space="0" w:sz="4"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       -    </w:t>
            </w:r>
          </w:p>
        </w:tc>
      </w:tr>
    </w:tbl>
    <w:p w:rsidRDefault="00834DB3" w:rsidP="00834DB3" w:rsidR="00834DB3"/>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 xml:space="preserve">Rješenjem Trgovačkog suda u Osijeku 6 St-368/14-4 od 27.siječnja 2015.godine imenovana </w:t>
      </w:r>
      <w:r w:rsidR="003E273F">
        <w:rPr>
          <w:rFonts w:hAnsi="Times New Roman" w:ascii="Times New Roman"/>
          <w:sz w:val="24"/>
          <w:szCs w:val="24"/>
        </w:rPr>
        <w:t>je</w:t>
      </w:r>
      <w:r w:rsidRPr="00834DB3">
        <w:rPr>
          <w:rFonts w:hAnsi="Times New Roman" w:ascii="Times New Roman"/>
          <w:sz w:val="24"/>
          <w:szCs w:val="24"/>
        </w:rPr>
        <w:t xml:space="preserve"> privremenom stečajnom upraviteljicom sa zadatkom da utvrdi financijsko-gospodarski položaj dužnika, te da li ima mogućnosti provođenja stečajnog postupka nad imovinom stečajnog dužnika.</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Prijedlog za otvaranje stečajnog postupka podnijela je dana 25.11.2014.godine FINA Regionalni centar Osijek , Nagodbeno vijeće OS 01 Osijek i to nakon donošenja rješenja 5.studenog 2014.g. kojim je obustavila postupak predstečajne nagodbe  nad dužnikom ,  a koje rješenje je ovjerovljeno potvrdom ovršnosti dana 24.11.2014.godine.</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U tijeku prethodnog postupka utvrđeno je da postoji stečajni razlog , a to je nesposobnost za plaćanje, te je rješenjem ovog suda broj 6St-368/14-8 od 10.ožujka 2015.godine otvoren stečajni postupak.</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Prvo ispitno i izvještajno ročište održano je 10.ožujka 2015.godine.</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Na ispitnom ročištu priznate su tražbine vjerovnika prvog višeg isplatnog reda u iznosu od 125.387,85 kn i vjerovnika drugog višeg isplatnog reda  u iznosu od 4.769.730,52   kn.</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Hypo Alpe Adria Bank d.d. Zagreb obavijestio je stečajnog dužnika  o zasnivanju založnog prava u protuvrijednosti 220.000,00 EUR-a. na nekretnini upisanoj u k.o. Osijek, zk.ul.17383, kč.br. 9873/95 površine 2.033m2 na lokaciji Uske njive Osijek.</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Izlučnih vjerovnika nije bilo.</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Na izvještajnom ročištu donijete su slijedeće odluke:</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Prihvaća se izvješće stečajne upraviteljice u cijelosti</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lastRenderedPageBreak/>
        <w:t>Obustavlja se poslovanje stečajnog dužnika</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Nekretnine će se prodavati sukladno članku 164 SZ</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Stečajna upraviteljica se ovlašćuje dati izraditi procjenu nekretnine vlasništvo stečajnog dužnika</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Stečaj će se provoditi kao stečaj male vrijednosti te nije imenovan odbor vjerovnika.</w:t>
      </w:r>
    </w:p>
    <w:p w:rsidRDefault="00834DB3" w:rsidP="00834DB3" w:rsidR="00834DB3" w:rsidRPr="00834DB3">
      <w:pPr>
        <w:pStyle w:val="Bezproreda"/>
        <w:jc w:val="both"/>
        <w:rPr>
          <w:rFonts w:hAnsi="Times New Roman" w:ascii="Times New Roman"/>
          <w:sz w:val="24"/>
          <w:szCs w:val="24"/>
        </w:rPr>
      </w:pP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U knjigovodstvenim evidenciji dužnika na klasi nula otvaranjem stečajnog postupka  evidentirana je nekretnina i to temeljem kupoprodajnog ugovora koji je zaključen dana 22.veljače 2012.godine. sa prodavateljima Liza I Mustafa Zuletović iz Osijeka, Pavla Pejačevića 20.</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 xml:space="preserve">Predmet kupoprodajnog ugovora bila je jedna soba površine 18,42m2 izgrađena na kč.br 1467/2  koja čini dio stana prodavatelja. Kako je takav ugovor ništetan sukladno Zakonu o vlasništvu i drugim stvarnim pravima jer se radi o dijelu nekretnine koja nije i ne može biti u pravnom prometu niti se nad istom može steći vlasništvo, </w:t>
      </w:r>
      <w:r w:rsidR="003E273F">
        <w:rPr>
          <w:rFonts w:hAnsi="Times New Roman" w:ascii="Times New Roman"/>
          <w:sz w:val="24"/>
          <w:szCs w:val="24"/>
        </w:rPr>
        <w:t>obaviješteni su</w:t>
      </w:r>
      <w:r w:rsidRPr="00834DB3">
        <w:rPr>
          <w:rFonts w:hAnsi="Times New Roman" w:ascii="Times New Roman"/>
          <w:sz w:val="24"/>
          <w:szCs w:val="24"/>
        </w:rPr>
        <w:t xml:space="preserve"> prodavatelj</w:t>
      </w:r>
      <w:r w:rsidR="003E273F">
        <w:rPr>
          <w:rFonts w:hAnsi="Times New Roman" w:ascii="Times New Roman"/>
          <w:sz w:val="24"/>
          <w:szCs w:val="24"/>
        </w:rPr>
        <w:t>i</w:t>
      </w:r>
      <w:r w:rsidRPr="00834DB3">
        <w:rPr>
          <w:rFonts w:hAnsi="Times New Roman" w:ascii="Times New Roman"/>
          <w:sz w:val="24"/>
          <w:szCs w:val="24"/>
        </w:rPr>
        <w:t xml:space="preserve">,  a od ranijeg zakonskog zastupnika dužnika Hrvoja Ivaniševića  </w:t>
      </w:r>
      <w:r w:rsidR="003E273F">
        <w:rPr>
          <w:rFonts w:hAnsi="Times New Roman" w:ascii="Times New Roman"/>
          <w:sz w:val="24"/>
          <w:szCs w:val="24"/>
        </w:rPr>
        <w:t xml:space="preserve">je traženo </w:t>
      </w:r>
      <w:r w:rsidRPr="00834DB3">
        <w:rPr>
          <w:rFonts w:hAnsi="Times New Roman" w:ascii="Times New Roman"/>
          <w:sz w:val="24"/>
          <w:szCs w:val="24"/>
        </w:rPr>
        <w:t>da obešteti  stečajn</w:t>
      </w:r>
      <w:r w:rsidR="003E273F">
        <w:rPr>
          <w:rFonts w:hAnsi="Times New Roman" w:ascii="Times New Roman"/>
          <w:sz w:val="24"/>
          <w:szCs w:val="24"/>
        </w:rPr>
        <w:t>u</w:t>
      </w:r>
      <w:r w:rsidRPr="00834DB3">
        <w:rPr>
          <w:rFonts w:hAnsi="Times New Roman" w:ascii="Times New Roman"/>
          <w:sz w:val="24"/>
          <w:szCs w:val="24"/>
        </w:rPr>
        <w:t xml:space="preserve"> mas</w:t>
      </w:r>
      <w:r w:rsidR="003E273F">
        <w:rPr>
          <w:rFonts w:hAnsi="Times New Roman" w:ascii="Times New Roman"/>
          <w:sz w:val="24"/>
          <w:szCs w:val="24"/>
        </w:rPr>
        <w:t>u</w:t>
      </w:r>
      <w:r w:rsidRPr="00834DB3">
        <w:rPr>
          <w:rFonts w:hAnsi="Times New Roman" w:ascii="Times New Roman"/>
          <w:sz w:val="24"/>
          <w:szCs w:val="24"/>
        </w:rPr>
        <w:t xml:space="preserve"> što je isti i učinio.</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 xml:space="preserve"> Prilog izvješću: Obavijest Lizi i Mustafi Zuletović o ništetnosti kupoprodajnog ugovora)</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Za nekretninu upisanu u k.o. Osijek , zk.ul.17383, kč.br.9873/95 vlasništvo stečajnog dužnika dana 15.lipnja 2015.godine naslovni sud rješenjem  broj  6 St-368/14-24  određuje prodaju  u stečajnom postupku , uz odgovarajuću primjenu pravila o ovrsi , a čija zabilježba je upisana na Općinskom sudu Osijek, Zemljišno knjižni odjel Z-4949/15.</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 xml:space="preserve">Trgovački sud Osijek zaključkom broj 6 St-368/14-28 od 29.rujna 2015.godine odredio je prvu prodaju nekretnina sa utvrđenom vrijednosti 923.296,00 kuna te zakazao usmenu javnu dražbu za  dana 23.listopada 2015.godine.Na prvoj javnoj dražbi nije bilo ponuditelja. </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Druga prodaja određena zaključkom ovog suda broj 6 St-368/14-32 od 23.listopada 2015.godine sa početnom vrijednosti 923.296,00 kuna  zakazana za 20.studenog 2015.godine također je bila neuspješna.</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Na trećoj javnoj dražbi čija prodaja je određena zaključkom naslovnog suda broj 6 St-368/14-36 od 20.studenog 2015.godine  sa početnom vrijednosti 738.636,80 kuna zakazana za 8.siječnja 2016.godine nije bilo ponuditelja.</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Zaključkom Trgovačkog suda Osijek broj  6 St-368/14-46 određena je četvrta prodaja  sa početnom vrijednosti od  461.164,80 kuna. Dražba  zakazana za 09. veljače 2016. nije održana na prijedlog razlučnog vjerovnika Hypo Alpe Adria bank d.d. Zagreb .</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Četvrta javna dražba određena zaključkom suda broj  6 St-368-14/41  je ponovljena 28.travnja 2016.godine sa  početnom cijenom 461.164,80 kuna a koja je  opetovano na prijedlog razlučnog vjerovnika  odgođena.</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Treći puta zakazana četvrta usmena javna dražba  zaključkom ovog suda broj6 St-368/14-54 održana je 13.listopada 2016.godine sa početnom vrijednosti 461.164,80 kuna.</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Na javnoj dražbi prihvaćena je ponuda ponuditelja -razlučnog vjerovnika Rencon d.o.o. Osijek, vijenac I. Mažuranića 8 po cijeni od 462.000,00kuna.</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Sud je provjerom utvrdio da je došlo do promjene razlučnog vjerovnika te umjesto Hypo Alpe Adria bank d.d. Zagreb na nekretnini je bio upisan Domagoj Gradištanac te umjesto Gradištanac Domagoja upisan Rencon d.o.o. Osijek.</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Kao razlučni vjerovnik Rencon d.o.o. Osijek ponudio je kupovninu za iznos od 462.000,00 kn koju nije bio dužan platiti jer se prvi namiruje  iz kupovnine ostvarene prodajom a i iz razloga jer je njegova tražbina utvrđena u većem iznosu</w:t>
      </w:r>
      <w:r w:rsidR="003E273F">
        <w:rPr>
          <w:rFonts w:hAnsi="Times New Roman" w:ascii="Times New Roman"/>
          <w:sz w:val="24"/>
          <w:szCs w:val="24"/>
        </w:rPr>
        <w:t xml:space="preserve"> od</w:t>
      </w:r>
      <w:r w:rsidRPr="00834DB3">
        <w:rPr>
          <w:rFonts w:hAnsi="Times New Roman" w:ascii="Times New Roman"/>
          <w:sz w:val="24"/>
          <w:szCs w:val="24"/>
        </w:rPr>
        <w:t xml:space="preserve"> početne cijene predmetne nekretnine</w:t>
      </w:r>
      <w:r w:rsidR="003E273F">
        <w:rPr>
          <w:rFonts w:hAnsi="Times New Roman" w:ascii="Times New Roman"/>
          <w:sz w:val="24"/>
          <w:szCs w:val="24"/>
        </w:rPr>
        <w:t xml:space="preserve"> te ga je sud </w:t>
      </w:r>
      <w:r w:rsidRPr="00834DB3">
        <w:rPr>
          <w:rFonts w:hAnsi="Times New Roman" w:ascii="Times New Roman"/>
          <w:sz w:val="24"/>
          <w:szCs w:val="24"/>
        </w:rPr>
        <w:t>rješenjem 6 St-368/14-57 obvezao na plaćanje 92.200,00 kuna na ime troškova stečajnog postupka. Ponuditelj Rencon d.o.o. Osijek je obvezu ispunio u roku i to  3.</w:t>
      </w:r>
      <w:r w:rsidR="003E273F">
        <w:rPr>
          <w:rFonts w:hAnsi="Times New Roman" w:ascii="Times New Roman"/>
          <w:sz w:val="24"/>
          <w:szCs w:val="24"/>
        </w:rPr>
        <w:t xml:space="preserve"> </w:t>
      </w:r>
      <w:r w:rsidRPr="00834DB3">
        <w:rPr>
          <w:rFonts w:hAnsi="Times New Roman" w:ascii="Times New Roman"/>
          <w:sz w:val="24"/>
          <w:szCs w:val="24"/>
        </w:rPr>
        <w:t>studenoga 2016.godine.</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lastRenderedPageBreak/>
        <w:t>Zaključkom 6 St-368/14-63 od 16.prosinca 2016,</w:t>
      </w:r>
      <w:r w:rsidR="003E273F">
        <w:rPr>
          <w:rFonts w:hAnsi="Times New Roman" w:ascii="Times New Roman"/>
          <w:sz w:val="24"/>
          <w:szCs w:val="24"/>
        </w:rPr>
        <w:t xml:space="preserve"> </w:t>
      </w:r>
      <w:r w:rsidRPr="00834DB3">
        <w:rPr>
          <w:rFonts w:hAnsi="Times New Roman" w:ascii="Times New Roman"/>
          <w:sz w:val="24"/>
          <w:szCs w:val="24"/>
        </w:rPr>
        <w:t>godine sud je utvrdio da je rješenje o dosudi nekretnine stečajnog dužnika postalo pravomoćno 02.studenog 2016,godine te je razlučni vjerovnik stekao zakonske uvjete za predaju nekretnine.</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Dražbe su objavljivane u Glasu Slavonije,  e-oglasnoj ploči suda i u očevidniku nekretnina Hrvatske gospodarske komore.</w:t>
      </w:r>
    </w:p>
    <w:p w:rsidRDefault="00834DB3" w:rsidP="00834DB3" w:rsidR="00834DB3" w:rsidRPr="00834DB3">
      <w:pPr>
        <w:pStyle w:val="Bezproreda"/>
        <w:jc w:val="both"/>
        <w:rPr>
          <w:rFonts w:hAnsi="Times New Roman" w:ascii="Times New Roman"/>
          <w:sz w:val="24"/>
          <w:szCs w:val="24"/>
        </w:rPr>
      </w:pP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Potraživanje iskazano u knjigovodstvenim evidencijama dužnika u iznosu od 936.653,65 kuna odnose se na Hrvoja Ivaniševića iz Osijeka. Kako isti ima otvoren poseban račun ovršenika broj: HR5023300033554108679 za uplatu primanja i naknada iz članka 172. Ovršnog zakona ili iznosa koji su izuzeti od ovrhe iz članka 173. Ovršnog zakona a nije evidentiran kao vlasnik vozila -uvjerenje MUP Policijska uprava Osječko-baranjska broj: 511-07-18/07-5133/2015, a niti jedne druge nekretnine sačinjen je  05.listopada 2016.godine Ugovor o osiguranju potraživanja .</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Hrvoje Ivanišević (dužnik) i supruga Iva Ivanišević (založni dužnik) pristali su, a radi naplate dospjelog potraživanja od 936.653,65 kn   upis pravo zaloga ( zajedničku hipoteku) na nekretnini upisanoj u zk.ul.17581, k.o. Osijek, kč.br.1467/2 etažno vlasništvo E-10.</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 xml:space="preserve">Postupak radi prisilne naplate nije pokrenut a razlog nepokretanja nalazi se u činjenici da stečajni dužnik nije na prvom mjestu upisan kako založni vjerovnik jer su ispred njega vjerovnici Rencon d.o.o. Osijek i MF Porezna uprava Osijek ,pa bi pokretanje postupka stvorilo dodatne troškove. </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Ugovor o osnivanju potraživanja je sastavni dio izvješća.</w:t>
      </w:r>
    </w:p>
    <w:p w:rsidRDefault="00834DB3" w:rsidP="00834DB3" w:rsidR="00834DB3" w:rsidRPr="00834DB3">
      <w:pPr>
        <w:pStyle w:val="Bezproreda"/>
        <w:jc w:val="both"/>
        <w:rPr>
          <w:rFonts w:hAnsi="Times New Roman" w:ascii="Times New Roman"/>
          <w:sz w:val="24"/>
          <w:szCs w:val="24"/>
        </w:rPr>
      </w:pP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Nakon podmirenja svih troškova ostalih obveza stečajne mase preostala stečajna masa iznosi 66.455,56 kn</w:t>
      </w:r>
    </w:p>
    <w:p w:rsidRDefault="00834DB3" w:rsidP="00834DB3" w:rsidR="00834DB3">
      <w:pPr>
        <w:jc w:val="both"/>
      </w:pPr>
    </w:p>
    <w:p w:rsidRDefault="00834DB3" w:rsidP="00834DB3" w:rsidR="00834DB3">
      <w:pPr>
        <w:pStyle w:val="Odlomakpopisa"/>
        <w:spacing w:lineRule="auto" w:line="254" w:after="160"/>
        <w:ind w:left="1080"/>
        <w:jc w:val="both"/>
      </w:pPr>
      <w:r>
        <w:t xml:space="preserve"> ZAVRŠNI DIOBNI POPIS</w:t>
      </w:r>
    </w:p>
    <w:tbl>
      <w:tblPr>
        <w:tblW w:type="auto" w:w="0"/>
        <w:tblLayout w:type="fixed"/>
        <w:tblLook w:val="04A0" w:noVBand="1" w:noHBand="0" w:lastColumn="0" w:firstColumn="1" w:lastRow="0" w:firstRow="1"/>
      </w:tblPr>
      <w:tblGrid>
        <w:gridCol w:w="841"/>
        <w:gridCol w:w="2977"/>
        <w:gridCol w:w="1559"/>
        <w:gridCol w:w="992"/>
        <w:gridCol w:w="1276"/>
        <w:gridCol w:w="1407"/>
      </w:tblGrid>
      <w:tr w:rsidTr="00834DB3" w:rsidR="00834DB3">
        <w:trPr>
          <w:trHeight w:val="855"/>
        </w:trPr>
        <w:tc>
          <w:tcPr>
            <w:tcW w:type="dxa" w:w="841"/>
            <w:tcBorders>
              <w:top w:space="0" w:sz="8" w:color="auto" w:val="single"/>
              <w:left w:space="0" w:sz="8" w:color="auto" w:val="single"/>
              <w:bottom w:space="0" w:sz="8"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Red. br</w:t>
            </w:r>
          </w:p>
        </w:tc>
        <w:tc>
          <w:tcPr>
            <w:tcW w:type="dxa" w:w="2977"/>
            <w:tcBorders>
              <w:top w:space="0" w:sz="8" w:color="auto" w:val="single"/>
              <w:left w:val="nil"/>
              <w:bottom w:space="0" w:sz="8"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Vjerovnik</w:t>
            </w:r>
          </w:p>
          <w:p w:rsidRDefault="00834DB3" w:rsidR="00834DB3">
            <w:pPr>
              <w:jc w:val="center"/>
              <w:rPr>
                <w:color w:val="000000"/>
              </w:rPr>
            </w:pPr>
            <w:r>
              <w:rPr>
                <w:color w:val="000000"/>
              </w:rPr>
              <w:t>Adresa</w:t>
            </w:r>
          </w:p>
          <w:p w:rsidRDefault="00834DB3" w:rsidR="00834DB3">
            <w:pPr>
              <w:jc w:val="center"/>
              <w:rPr>
                <w:color w:val="000000"/>
                <w:sz w:val="24"/>
                <w:szCs w:val="24"/>
              </w:rPr>
            </w:pPr>
            <w:r>
              <w:rPr>
                <w:color w:val="000000"/>
              </w:rPr>
              <w:t>OIB</w:t>
            </w:r>
          </w:p>
        </w:tc>
        <w:tc>
          <w:tcPr>
            <w:tcW w:type="dxa" w:w="1559"/>
            <w:tcBorders>
              <w:top w:space="0" w:sz="8" w:color="auto" w:val="single"/>
              <w:left w:val="nil"/>
              <w:bottom w:space="0" w:sz="8"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Priznata tražbina</w:t>
            </w:r>
          </w:p>
        </w:tc>
        <w:tc>
          <w:tcPr>
            <w:tcW w:type="dxa" w:w="992"/>
            <w:tcBorders>
              <w:top w:space="0" w:sz="8" w:color="auto" w:val="single"/>
              <w:left w:space="0" w:sz="4" w:color="auto" w:val="single"/>
              <w:bottom w:space="0" w:sz="8" w:color="auto" w:val="single"/>
              <w:right w:space="0" w:sz="4"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 diobe</w:t>
            </w:r>
          </w:p>
        </w:tc>
        <w:tc>
          <w:tcPr>
            <w:tcW w:type="dxa" w:w="1276"/>
            <w:tcBorders>
              <w:top w:space="0" w:sz="8" w:color="auto" w:val="single"/>
              <w:left w:val="nil"/>
              <w:bottom w:space="0" w:sz="8" w:color="auto" w:val="single"/>
              <w:right w:val="nil"/>
            </w:tcBorders>
            <w:shd w:themeFillShade="F2" w:themeFill="background1" w:fill="F2F2F2" w:color="auto" w:val="clear"/>
            <w:vAlign w:val="center"/>
            <w:hideMark/>
          </w:tcPr>
          <w:p w:rsidRDefault="00834DB3" w:rsidR="00834DB3">
            <w:pPr>
              <w:jc w:val="center"/>
              <w:rPr>
                <w:color w:val="000000"/>
                <w:sz w:val="24"/>
                <w:szCs w:val="24"/>
              </w:rPr>
            </w:pPr>
            <w:r>
              <w:rPr>
                <w:color w:val="000000"/>
              </w:rPr>
              <w:t>Iznos za diobu</w:t>
            </w:r>
          </w:p>
        </w:tc>
        <w:tc>
          <w:tcPr>
            <w:tcW w:type="dxa" w:w="1407"/>
            <w:tcBorders>
              <w:top w:space="0" w:sz="8" w:color="auto" w:val="single"/>
              <w:left w:space="0" w:sz="4" w:color="auto" w:val="single"/>
              <w:bottom w:space="0" w:sz="8" w:color="auto" w:val="single"/>
              <w:right w:space="0" w:sz="8" w:color="auto" w:val="single"/>
            </w:tcBorders>
            <w:shd w:themeFillShade="F2" w:themeFill="background1" w:fill="F2F2F2" w:color="auto" w:val="clear"/>
            <w:vAlign w:val="center"/>
            <w:hideMark/>
          </w:tcPr>
          <w:p w:rsidRDefault="00834DB3" w:rsidR="00834DB3">
            <w:pPr>
              <w:jc w:val="center"/>
              <w:rPr>
                <w:color w:val="000000"/>
                <w:sz w:val="24"/>
                <w:szCs w:val="24"/>
              </w:rPr>
            </w:pPr>
            <w:r>
              <w:rPr>
                <w:color w:val="000000"/>
              </w:rPr>
              <w:t>Ostaje neisplaćeno</w:t>
            </w:r>
          </w:p>
        </w:tc>
      </w:tr>
      <w:tr w:rsidTr="00834DB3" w:rsidR="00834DB3">
        <w:trPr>
          <w:trHeight w:val="570"/>
        </w:trPr>
        <w:tc>
          <w:tcPr>
            <w:tcW w:type="dxa" w:w="841"/>
            <w:tcBorders>
              <w:top w:val="nil"/>
              <w:left w:space="0" w:sz="8" w:color="auto" w:val="single"/>
              <w:bottom w:space="0" w:sz="4" w:color="auto" w:val="single"/>
              <w:right w:space="0" w:sz="4" w:color="auto" w:val="single"/>
            </w:tcBorders>
            <w:noWrap/>
            <w:vAlign w:val="center"/>
            <w:hideMark/>
          </w:tcPr>
          <w:p w:rsidRDefault="00834DB3" w:rsidR="00834DB3">
            <w:pPr>
              <w:jc w:val="center"/>
              <w:rPr>
                <w:color w:val="000000"/>
                <w:sz w:val="24"/>
                <w:szCs w:val="24"/>
              </w:rPr>
            </w:pPr>
            <w:r>
              <w:rPr>
                <w:color w:val="000000"/>
              </w:rPr>
              <w:t>1.</w:t>
            </w:r>
          </w:p>
        </w:tc>
        <w:tc>
          <w:tcPr>
            <w:tcW w:type="dxa" w:w="2977"/>
            <w:tcBorders>
              <w:top w:val="nil"/>
              <w:left w:val="nil"/>
              <w:bottom w:space="0" w:sz="4" w:color="auto" w:val="single"/>
              <w:right w:space="0" w:sz="4" w:color="auto" w:val="single"/>
            </w:tcBorders>
            <w:vAlign w:val="center"/>
            <w:hideMark/>
          </w:tcPr>
          <w:p w:rsidRDefault="00834DB3" w:rsidR="00834DB3">
            <w:pPr>
              <w:rPr>
                <w:color w:val="000000"/>
                <w:sz w:val="24"/>
                <w:szCs w:val="24"/>
              </w:rPr>
            </w:pPr>
            <w:r>
              <w:rPr>
                <w:color w:val="000000"/>
              </w:rPr>
              <w:t>IVANIŠEVIĆ HRVOJE</w:t>
            </w:r>
          </w:p>
          <w:p w:rsidRDefault="00834DB3" w:rsidR="00834DB3">
            <w:pPr>
              <w:rPr>
                <w:color w:val="000000"/>
              </w:rPr>
            </w:pPr>
            <w:r>
              <w:rPr>
                <w:color w:val="000000"/>
              </w:rPr>
              <w:t>Osijek, K. A. Stepinca 15</w:t>
            </w:r>
          </w:p>
          <w:p w:rsidRDefault="00834DB3" w:rsidR="00834DB3">
            <w:pPr>
              <w:rPr>
                <w:color w:val="000000"/>
                <w:sz w:val="24"/>
                <w:szCs w:val="24"/>
              </w:rPr>
            </w:pPr>
            <w:r>
              <w:rPr>
                <w:color w:val="000000"/>
              </w:rPr>
              <w:t>OIB 29528304474</w:t>
            </w:r>
          </w:p>
        </w:tc>
        <w:tc>
          <w:tcPr>
            <w:tcW w:type="dxa" w:w="1559"/>
            <w:tcBorders>
              <w:top w:val="nil"/>
              <w:left w:val="nil"/>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 xml:space="preserve">      21.390,00    </w:t>
            </w:r>
          </w:p>
        </w:tc>
        <w:tc>
          <w:tcPr>
            <w:tcW w:type="dxa" w:w="992"/>
            <w:tcBorders>
              <w:top w:val="nil"/>
              <w:left w:space="0" w:sz="4" w:color="auto" w:val="single"/>
              <w:bottom w:space="0" w:sz="4" w:color="auto" w:val="single"/>
              <w:right w:space="0" w:sz="4" w:color="auto" w:val="single"/>
            </w:tcBorders>
            <w:noWrap/>
            <w:vAlign w:val="center"/>
            <w:hideMark/>
          </w:tcPr>
          <w:p w:rsidRDefault="00834DB3" w:rsidR="00834DB3">
            <w:pPr>
              <w:jc w:val="right"/>
              <w:rPr>
                <w:color w:val="000000"/>
                <w:sz w:val="24"/>
                <w:szCs w:val="24"/>
              </w:rPr>
            </w:pPr>
            <w:r>
              <w:rPr>
                <w:color w:val="000000"/>
              </w:rPr>
              <w:t>53,00%</w:t>
            </w:r>
          </w:p>
        </w:tc>
        <w:tc>
          <w:tcPr>
            <w:tcW w:type="dxa" w:w="1276"/>
            <w:tcBorders>
              <w:top w:val="nil"/>
              <w:left w:val="nil"/>
              <w:bottom w:space="0" w:sz="4" w:color="auto" w:val="single"/>
              <w:right w:val="nil"/>
            </w:tcBorders>
            <w:noWrap/>
            <w:vAlign w:val="center"/>
            <w:hideMark/>
          </w:tcPr>
          <w:p w:rsidRDefault="00834DB3" w:rsidR="00834DB3">
            <w:pPr>
              <w:jc w:val="right"/>
              <w:rPr>
                <w:color w:val="000000"/>
                <w:sz w:val="24"/>
                <w:szCs w:val="24"/>
              </w:rPr>
            </w:pPr>
            <w:r>
              <w:rPr>
                <w:color w:val="000000"/>
              </w:rPr>
              <w:t xml:space="preserve"> 11.336,70    </w:t>
            </w:r>
          </w:p>
        </w:tc>
        <w:tc>
          <w:tcPr>
            <w:tcW w:type="dxa" w:w="1407"/>
            <w:tcBorders>
              <w:top w:val="nil"/>
              <w:left w:space="0" w:sz="4" w:color="auto" w:val="single"/>
              <w:bottom w:space="0" w:sz="4" w:color="auto" w:val="single"/>
              <w:right w:space="0" w:sz="8" w:color="auto" w:val="single"/>
            </w:tcBorders>
            <w:noWrap/>
            <w:vAlign w:val="center"/>
            <w:hideMark/>
          </w:tcPr>
          <w:p w:rsidRDefault="00834DB3" w:rsidR="00834DB3">
            <w:pPr>
              <w:jc w:val="right"/>
              <w:rPr>
                <w:color w:val="000000"/>
                <w:sz w:val="24"/>
                <w:szCs w:val="24"/>
              </w:rPr>
            </w:pPr>
            <w:r>
              <w:rPr>
                <w:color w:val="000000"/>
              </w:rPr>
              <w:t xml:space="preserve">   10.053,30    </w:t>
            </w:r>
          </w:p>
        </w:tc>
      </w:tr>
      <w:tr w:rsidTr="00834DB3" w:rsidR="00834DB3">
        <w:trPr>
          <w:trHeight w:val="1440"/>
        </w:trPr>
        <w:tc>
          <w:tcPr>
            <w:tcW w:type="dxa" w:w="841"/>
            <w:tcBorders>
              <w:top w:val="nil"/>
              <w:left w:space="0" w:sz="8" w:color="auto" w:val="single"/>
              <w:bottom w:val="nil"/>
              <w:right w:space="0" w:sz="4" w:color="auto" w:val="single"/>
            </w:tcBorders>
            <w:noWrap/>
            <w:vAlign w:val="center"/>
            <w:hideMark/>
          </w:tcPr>
          <w:p w:rsidRDefault="00834DB3" w:rsidR="00834DB3">
            <w:pPr>
              <w:jc w:val="center"/>
              <w:rPr>
                <w:color w:val="000000"/>
                <w:sz w:val="24"/>
                <w:szCs w:val="24"/>
              </w:rPr>
            </w:pPr>
            <w:r>
              <w:rPr>
                <w:color w:val="000000"/>
              </w:rPr>
              <w:t>2.</w:t>
            </w:r>
          </w:p>
        </w:tc>
        <w:tc>
          <w:tcPr>
            <w:tcW w:type="dxa" w:w="2977"/>
            <w:tcBorders>
              <w:top w:val="nil"/>
              <w:left w:val="nil"/>
              <w:bottom w:val="nil"/>
              <w:right w:space="0" w:sz="4" w:color="auto" w:val="single"/>
            </w:tcBorders>
            <w:vAlign w:val="center"/>
            <w:hideMark/>
          </w:tcPr>
          <w:p w:rsidRDefault="00834DB3" w:rsidR="00834DB3">
            <w:pPr>
              <w:rPr>
                <w:color w:val="000000"/>
                <w:sz w:val="24"/>
                <w:szCs w:val="24"/>
              </w:rPr>
            </w:pPr>
            <w:r>
              <w:rPr>
                <w:color w:val="000000"/>
              </w:rPr>
              <w:t>RH MF POREZNA UPRAVA, zastupana po Županijskom državnom odvjetništvu u Osijeku</w:t>
            </w:r>
          </w:p>
          <w:p w:rsidRDefault="00834DB3" w:rsidR="00834DB3">
            <w:pPr>
              <w:rPr>
                <w:color w:val="000000"/>
                <w:sz w:val="24"/>
                <w:szCs w:val="24"/>
              </w:rPr>
            </w:pPr>
            <w:r>
              <w:rPr>
                <w:color w:val="000000"/>
              </w:rPr>
              <w:t>Osijek, OIB 52634238587</w:t>
            </w:r>
          </w:p>
        </w:tc>
        <w:tc>
          <w:tcPr>
            <w:tcW w:type="dxa" w:w="1559"/>
            <w:tcBorders>
              <w:top w:val="nil"/>
              <w:left w:val="nil"/>
              <w:bottom w:val="nil"/>
              <w:right w:space="0" w:sz="4" w:color="auto" w:val="single"/>
            </w:tcBorders>
            <w:noWrap/>
            <w:vAlign w:val="center"/>
            <w:hideMark/>
          </w:tcPr>
          <w:p w:rsidRDefault="00834DB3" w:rsidR="00834DB3">
            <w:pPr>
              <w:jc w:val="right"/>
              <w:rPr>
                <w:color w:val="000000"/>
                <w:sz w:val="24"/>
                <w:szCs w:val="24"/>
              </w:rPr>
            </w:pPr>
            <w:r>
              <w:rPr>
                <w:color w:val="000000"/>
              </w:rPr>
              <w:t xml:space="preserve">    103.997,85    </w:t>
            </w:r>
          </w:p>
        </w:tc>
        <w:tc>
          <w:tcPr>
            <w:tcW w:type="dxa" w:w="992"/>
            <w:tcBorders>
              <w:top w:val="nil"/>
              <w:left w:space="0" w:sz="4" w:color="auto" w:val="single"/>
              <w:bottom w:val="nil"/>
              <w:right w:space="0" w:sz="4" w:color="auto" w:val="single"/>
            </w:tcBorders>
            <w:noWrap/>
            <w:vAlign w:val="center"/>
            <w:hideMark/>
          </w:tcPr>
          <w:p w:rsidRDefault="00834DB3" w:rsidR="00834DB3">
            <w:pPr>
              <w:jc w:val="right"/>
              <w:rPr>
                <w:color w:val="000000"/>
                <w:sz w:val="24"/>
                <w:szCs w:val="24"/>
              </w:rPr>
            </w:pPr>
            <w:r>
              <w:rPr>
                <w:color w:val="000000"/>
              </w:rPr>
              <w:t>53,00%</w:t>
            </w:r>
          </w:p>
        </w:tc>
        <w:tc>
          <w:tcPr>
            <w:tcW w:type="dxa" w:w="1276"/>
            <w:noWrap/>
            <w:vAlign w:val="center"/>
            <w:hideMark/>
          </w:tcPr>
          <w:p w:rsidRDefault="00834DB3" w:rsidR="00834DB3">
            <w:pPr>
              <w:jc w:val="right"/>
              <w:rPr>
                <w:color w:val="000000"/>
                <w:sz w:val="24"/>
                <w:szCs w:val="24"/>
              </w:rPr>
            </w:pPr>
            <w:r>
              <w:rPr>
                <w:color w:val="000000"/>
              </w:rPr>
              <w:t xml:space="preserve">  55.118,86    </w:t>
            </w:r>
          </w:p>
        </w:tc>
        <w:tc>
          <w:tcPr>
            <w:tcW w:type="dxa" w:w="1407"/>
            <w:tcBorders>
              <w:top w:space="0" w:sz="4" w:color="auto" w:val="single"/>
              <w:left w:space="0" w:sz="4" w:color="auto" w:val="single"/>
              <w:bottom w:space="0" w:sz="4" w:color="auto" w:val="single"/>
              <w:right w:space="0" w:sz="8" w:color="auto" w:val="single"/>
            </w:tcBorders>
            <w:noWrap/>
            <w:vAlign w:val="center"/>
            <w:hideMark/>
          </w:tcPr>
          <w:p w:rsidRDefault="00834DB3" w:rsidR="00834DB3">
            <w:pPr>
              <w:jc w:val="right"/>
              <w:rPr>
                <w:color w:val="000000"/>
                <w:sz w:val="24"/>
                <w:szCs w:val="24"/>
              </w:rPr>
            </w:pPr>
            <w:r>
              <w:rPr>
                <w:color w:val="000000"/>
              </w:rPr>
              <w:t xml:space="preserve">   48.878,99    </w:t>
            </w:r>
          </w:p>
        </w:tc>
      </w:tr>
      <w:tr w:rsidTr="00834DB3" w:rsidR="00834DB3">
        <w:trPr>
          <w:trHeight w:val="300"/>
        </w:trPr>
        <w:tc>
          <w:tcPr>
            <w:tcW w:type="dxa" w:w="841"/>
            <w:tcBorders>
              <w:top w:space="0" w:sz="8" w:color="auto" w:val="single"/>
              <w:left w:space="0" w:sz="8" w:color="auto" w:val="single"/>
              <w:bottom w:space="0" w:sz="8" w:color="auto" w:val="single"/>
              <w:right w:space="0" w:sz="4" w:color="auto" w:val="single"/>
            </w:tcBorders>
            <w:shd w:themeFillShade="F2" w:themeFill="background1" w:fill="F2F2F2" w:color="auto" w:val="clear"/>
            <w:noWrap/>
            <w:vAlign w:val="center"/>
            <w:hideMark/>
          </w:tcPr>
          <w:p w:rsidRDefault="00834DB3" w:rsidR="00834DB3">
            <w:pPr>
              <w:jc w:val="center"/>
              <w:rPr>
                <w:b/>
                <w:bCs/>
                <w:color w:val="000000"/>
                <w:sz w:val="24"/>
                <w:szCs w:val="24"/>
              </w:rPr>
            </w:pPr>
            <w:r>
              <w:rPr>
                <w:b/>
                <w:bCs/>
                <w:color w:val="000000"/>
              </w:rPr>
              <w:t>3.</w:t>
            </w:r>
          </w:p>
        </w:tc>
        <w:tc>
          <w:tcPr>
            <w:tcW w:type="dxa" w:w="2977"/>
            <w:tcBorders>
              <w:top w:space="0" w:sz="8" w:color="auto" w:val="single"/>
              <w:left w:val="nil"/>
              <w:bottom w:space="0" w:sz="8" w:color="auto" w:val="single"/>
              <w:right w:space="0" w:sz="4" w:color="auto" w:val="single"/>
            </w:tcBorders>
            <w:shd w:themeFillShade="F2" w:themeFill="background1" w:fill="F2F2F2" w:color="auto" w:val="clear"/>
            <w:noWrap/>
            <w:vAlign w:val="center"/>
            <w:hideMark/>
          </w:tcPr>
          <w:p w:rsidRDefault="00834DB3" w:rsidR="00834DB3">
            <w:pPr>
              <w:rPr>
                <w:b/>
                <w:bCs/>
                <w:color w:val="000000"/>
                <w:sz w:val="24"/>
                <w:szCs w:val="24"/>
              </w:rPr>
            </w:pPr>
            <w:r>
              <w:rPr>
                <w:b/>
                <w:bCs/>
                <w:color w:val="000000"/>
              </w:rPr>
              <w:t xml:space="preserve">Ukupno </w:t>
            </w:r>
          </w:p>
        </w:tc>
        <w:tc>
          <w:tcPr>
            <w:tcW w:type="dxa" w:w="1559"/>
            <w:tcBorders>
              <w:top w:space="0" w:sz="8" w:color="auto" w:val="single"/>
              <w:left w:val="nil"/>
              <w:bottom w:space="0" w:sz="8"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  125.387,85    </w:t>
            </w:r>
          </w:p>
        </w:tc>
        <w:tc>
          <w:tcPr>
            <w:tcW w:type="dxa" w:w="992"/>
            <w:tcBorders>
              <w:top w:space="0" w:sz="8" w:color="auto" w:val="single"/>
              <w:left w:space="0" w:sz="4" w:color="auto" w:val="single"/>
              <w:bottom w:space="0" w:sz="8" w:color="auto" w:val="single"/>
              <w:right w:space="0" w:sz="4"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w:t>
            </w:r>
          </w:p>
        </w:tc>
        <w:tc>
          <w:tcPr>
            <w:tcW w:type="dxa" w:w="1276"/>
            <w:tcBorders>
              <w:top w:space="0" w:sz="8" w:color="auto" w:val="single"/>
              <w:left w:val="nil"/>
              <w:bottom w:space="0" w:sz="8" w:color="auto" w:val="single"/>
              <w:right w:val="nil"/>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66.455,56    </w:t>
            </w:r>
          </w:p>
        </w:tc>
        <w:tc>
          <w:tcPr>
            <w:tcW w:type="dxa" w:w="1407"/>
            <w:tcBorders>
              <w:top w:space="0" w:sz="8" w:color="auto" w:val="single"/>
              <w:left w:space="0" w:sz="4" w:color="auto" w:val="single"/>
              <w:bottom w:space="0" w:sz="8" w:color="auto" w:val="single"/>
              <w:right w:space="0" w:sz="8" w:color="auto" w:val="single"/>
            </w:tcBorders>
            <w:shd w:themeFillShade="F2" w:themeFill="background1" w:fill="F2F2F2" w:color="auto" w:val="clear"/>
            <w:noWrap/>
            <w:vAlign w:val="center"/>
            <w:hideMark/>
          </w:tcPr>
          <w:p w:rsidRDefault="00834DB3" w:rsidR="00834DB3">
            <w:pPr>
              <w:jc w:val="right"/>
              <w:rPr>
                <w:b/>
                <w:bCs/>
                <w:color w:val="000000"/>
                <w:sz w:val="24"/>
                <w:szCs w:val="24"/>
              </w:rPr>
            </w:pPr>
            <w:r>
              <w:rPr>
                <w:b/>
                <w:bCs/>
                <w:color w:val="000000"/>
              </w:rPr>
              <w:t xml:space="preserve"> 58.932,29    </w:t>
            </w:r>
          </w:p>
        </w:tc>
      </w:tr>
    </w:tbl>
    <w:p w:rsidRDefault="00834DB3" w:rsidP="00834DB3" w:rsidR="00834DB3" w:rsidRPr="00834DB3">
      <w:pPr>
        <w:pStyle w:val="Bezproreda"/>
        <w:jc w:val="both"/>
        <w:rPr>
          <w:rFonts w:hAnsi="Times New Roman" w:ascii="Times New Roman"/>
          <w:sz w:val="24"/>
          <w:szCs w:val="24"/>
        </w:rPr>
      </w:pP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lastRenderedPageBreak/>
        <w:t>Zakonom o arhivskom gradivu i arhivama svi imatelji arhivskog gradiva dužni su čuvati odnosno voditi brigu o arhivskog gradivu.</w:t>
      </w:r>
    </w:p>
    <w:p w:rsidRDefault="00834DB3" w:rsidP="00834DB3" w:rsidR="00834DB3" w:rsidRPr="00834DB3">
      <w:pPr>
        <w:pStyle w:val="Bezproreda"/>
        <w:jc w:val="both"/>
        <w:rPr>
          <w:rFonts w:hAnsi="Times New Roman" w:ascii="Times New Roman"/>
          <w:sz w:val="24"/>
          <w:szCs w:val="24"/>
        </w:rPr>
      </w:pPr>
      <w:r w:rsidRPr="00834DB3">
        <w:rPr>
          <w:rFonts w:hAnsi="Times New Roman" w:ascii="Times New Roman"/>
          <w:sz w:val="24"/>
          <w:szCs w:val="24"/>
        </w:rPr>
        <w:t>Arhivsko gradivo nakon okončanja stečajnog postupka predati će se na čuvanje  Filomoteka d.o.o. Osijek čiji račun za čuvanje je plaćen.</w:t>
      </w:r>
    </w:p>
    <w:p w:rsidRDefault="00834DB3" w:rsidP="00834DB3" w:rsidR="00834DB3" w:rsidRPr="00834DB3">
      <w:pPr>
        <w:pStyle w:val="Bezproreda"/>
        <w:jc w:val="both"/>
        <w:rPr>
          <w:rFonts w:hAnsi="Times New Roman" w:ascii="Times New Roman"/>
          <w:bCs/>
          <w:sz w:val="24"/>
          <w:szCs w:val="24"/>
        </w:rPr>
      </w:pPr>
    </w:p>
    <w:p w:rsidRDefault="00834DB3" w:rsidP="003E273F" w:rsidR="004F79F8" w:rsidRPr="00AC176B">
      <w:pPr>
        <w:pStyle w:val="Bezproreda"/>
        <w:ind w:firstLine="708"/>
        <w:jc w:val="both"/>
        <w:rPr>
          <w:rFonts w:hAnsi="Times New Roman" w:ascii="Times New Roman"/>
          <w:sz w:val="24"/>
          <w:szCs w:val="24"/>
        </w:rPr>
      </w:pPr>
      <w:r>
        <w:rPr>
          <w:rFonts w:hAnsi="Times New Roman" w:ascii="Times New Roman"/>
          <w:sz w:val="24"/>
          <w:szCs w:val="24"/>
        </w:rPr>
        <w:t>Stečajna upraviteljica predl</w:t>
      </w:r>
      <w:r w:rsidR="003E273F">
        <w:rPr>
          <w:rFonts w:hAnsi="Times New Roman" w:ascii="Times New Roman"/>
          <w:sz w:val="24"/>
          <w:szCs w:val="24"/>
        </w:rPr>
        <w:t xml:space="preserve">ožila je </w:t>
      </w:r>
      <w:r>
        <w:rPr>
          <w:rFonts w:hAnsi="Times New Roman" w:ascii="Times New Roman"/>
          <w:sz w:val="24"/>
          <w:szCs w:val="24"/>
        </w:rPr>
        <w:t>da se zaključi stečajni postupak sukladno čl. 196 SZ.</w:t>
      </w:r>
    </w:p>
    <w:p w:rsidRDefault="001539F0" w:rsidP="00A261B1" w:rsidR="00273331">
      <w:pPr>
        <w:pStyle w:val="Bezproreda"/>
        <w:jc w:val="both"/>
        <w:rPr>
          <w:rFonts w:hAnsi="Times New Roman" w:ascii="Times New Roman"/>
          <w:sz w:val="24"/>
          <w:szCs w:val="24"/>
        </w:rPr>
      </w:pPr>
      <w:r w:rsidRPr="00A261B1">
        <w:rPr>
          <w:rFonts w:hAnsi="Times New Roman" w:ascii="Times New Roman"/>
          <w:sz w:val="24"/>
          <w:szCs w:val="24"/>
        </w:rPr>
        <w:tab/>
        <w:t xml:space="preserve">ŽDO se suglasio s </w:t>
      </w:r>
      <w:r w:rsidR="00EB7157" w:rsidRPr="00A261B1">
        <w:rPr>
          <w:rFonts w:hAnsi="Times New Roman" w:ascii="Times New Roman"/>
          <w:sz w:val="24"/>
          <w:szCs w:val="24"/>
        </w:rPr>
        <w:t>prijedlogom stečajn</w:t>
      </w:r>
      <w:r w:rsidR="00582FB8">
        <w:rPr>
          <w:rFonts w:hAnsi="Times New Roman" w:ascii="Times New Roman"/>
          <w:sz w:val="24"/>
          <w:szCs w:val="24"/>
        </w:rPr>
        <w:t>e</w:t>
      </w:r>
      <w:r w:rsidR="00EB7157" w:rsidRPr="00A261B1">
        <w:rPr>
          <w:rFonts w:hAnsi="Times New Roman" w:ascii="Times New Roman"/>
          <w:sz w:val="24"/>
          <w:szCs w:val="24"/>
        </w:rPr>
        <w:t xml:space="preserve"> upravitelj</w:t>
      </w:r>
      <w:r w:rsidR="00582FB8">
        <w:rPr>
          <w:rFonts w:hAnsi="Times New Roman" w:ascii="Times New Roman"/>
          <w:sz w:val="24"/>
          <w:szCs w:val="24"/>
        </w:rPr>
        <w:t>ice</w:t>
      </w:r>
      <w:r w:rsidR="00EB7157" w:rsidRPr="00A261B1">
        <w:rPr>
          <w:rFonts w:hAnsi="Times New Roman" w:ascii="Times New Roman"/>
          <w:sz w:val="24"/>
          <w:szCs w:val="24"/>
        </w:rPr>
        <w:t xml:space="preserve"> te je donesena odluka kojom je usvojeno završno izvješće stečajn</w:t>
      </w:r>
      <w:r w:rsidR="00582FB8">
        <w:rPr>
          <w:rFonts w:hAnsi="Times New Roman" w:ascii="Times New Roman"/>
          <w:sz w:val="24"/>
          <w:szCs w:val="24"/>
        </w:rPr>
        <w:t>e</w:t>
      </w:r>
      <w:r w:rsidR="00EB7157" w:rsidRPr="00A261B1">
        <w:rPr>
          <w:rFonts w:hAnsi="Times New Roman" w:ascii="Times New Roman"/>
          <w:sz w:val="24"/>
          <w:szCs w:val="24"/>
        </w:rPr>
        <w:t xml:space="preserve"> upravitelj</w:t>
      </w:r>
      <w:r w:rsidR="00582FB8">
        <w:rPr>
          <w:rFonts w:hAnsi="Times New Roman" w:ascii="Times New Roman"/>
          <w:sz w:val="24"/>
          <w:szCs w:val="24"/>
        </w:rPr>
        <w:t>ice</w:t>
      </w:r>
      <w:r w:rsidR="00EB7157" w:rsidRPr="00A261B1">
        <w:rPr>
          <w:rFonts w:hAnsi="Times New Roman" w:ascii="Times New Roman"/>
          <w:sz w:val="24"/>
          <w:szCs w:val="24"/>
        </w:rPr>
        <w:t xml:space="preserve"> i prijedlog za zaključenje stečajnog postupka.</w:t>
      </w:r>
      <w:r w:rsidRPr="00A261B1">
        <w:rPr>
          <w:rFonts w:hAnsi="Times New Roman" w:ascii="Times New Roman"/>
          <w:sz w:val="24"/>
          <w:szCs w:val="24"/>
        </w:rPr>
        <w:t xml:space="preserve"> </w:t>
      </w:r>
    </w:p>
    <w:p w:rsidRDefault="00A261B1" w:rsidP="00A261B1" w:rsidR="00A261B1" w:rsidRPr="00A261B1">
      <w:pPr>
        <w:pStyle w:val="Bezproreda"/>
        <w:jc w:val="both"/>
        <w:rPr>
          <w:rFonts w:hAnsi="Times New Roman" w:ascii="Times New Roman"/>
          <w:sz w:val="24"/>
          <w:szCs w:val="24"/>
        </w:rPr>
      </w:pPr>
    </w:p>
    <w:p w:rsidRDefault="0039558B" w:rsidP="00A261B1" w:rsidR="00015ABD" w:rsidRPr="00A261B1">
      <w:pPr>
        <w:pStyle w:val="Bezproreda"/>
        <w:ind w:firstLine="708"/>
        <w:jc w:val="both"/>
        <w:rPr>
          <w:rFonts w:hAnsi="Times New Roman" w:ascii="Times New Roman"/>
          <w:sz w:val="24"/>
          <w:szCs w:val="24"/>
        </w:rPr>
      </w:pPr>
      <w:r w:rsidRPr="00A261B1">
        <w:rPr>
          <w:rFonts w:hAnsi="Times New Roman" w:ascii="Times New Roman"/>
          <w:sz w:val="24"/>
          <w:szCs w:val="24"/>
        </w:rPr>
        <w:t xml:space="preserve">Kako su svi poslovi u ovom stečajnom postupku dovršeni, sud je temeljem čl.196 </w:t>
      </w:r>
      <w:r w:rsidR="004905B9" w:rsidRPr="00A261B1">
        <w:rPr>
          <w:rFonts w:hAnsi="Times New Roman" w:ascii="Times New Roman"/>
          <w:sz w:val="24"/>
          <w:szCs w:val="24"/>
        </w:rPr>
        <w:t xml:space="preserve">Stečajnog zakona </w:t>
      </w:r>
      <w:r w:rsidR="00DC430E" w:rsidRPr="00A261B1">
        <w:rPr>
          <w:rFonts w:hAnsi="Times New Roman" w:ascii="Times New Roman"/>
          <w:sz w:val="24"/>
          <w:szCs w:val="24"/>
        </w:rPr>
        <w:t xml:space="preserve">Stečajnog zakona („Narodne novine“ broj 44/96, 29/99, 129/00, 123/03, 197/03  187/04, 82/06,  116/10, 25/12, 133/12 i 45/13) </w:t>
      </w:r>
      <w:r w:rsidRPr="00A261B1">
        <w:rPr>
          <w:rFonts w:hAnsi="Times New Roman" w:ascii="Times New Roman"/>
          <w:sz w:val="24"/>
          <w:szCs w:val="24"/>
        </w:rPr>
        <w:t>odlučio  kao u izreci.</w:t>
      </w:r>
    </w:p>
    <w:p w:rsidRDefault="00D870FD" w:rsidP="00273331" w:rsidR="00D870FD" w:rsidRPr="00F8588B">
      <w:pPr>
        <w:jc w:val="both"/>
        <w:rPr>
          <w:rFonts w:hAnsi="Times New Roman" w:ascii="Times New Roman"/>
          <w:sz w:val="24"/>
          <w:szCs w:val="24"/>
        </w:rPr>
      </w:pPr>
    </w:p>
    <w:p w:rsidRDefault="00582FB8" w:rsidP="00582FB8" w:rsidR="00417A2B">
      <w:pPr>
        <w:pStyle w:val="Bezproreda"/>
        <w:tabs>
          <w:tab w:pos="4536" w:val="center"/>
          <w:tab w:pos="6405" w:val="left"/>
        </w:tabs>
        <w:rPr>
          <w:rFonts w:hAnsi="Times New Roman" w:ascii="Times New Roman"/>
          <w:sz w:val="24"/>
          <w:szCs w:val="24"/>
        </w:rPr>
      </w:pPr>
      <w:r>
        <w:rPr>
          <w:rFonts w:hAnsi="Times New Roman" w:ascii="Times New Roman"/>
          <w:sz w:val="24"/>
          <w:szCs w:val="24"/>
        </w:rPr>
        <w:tab/>
      </w:r>
      <w:r w:rsidR="00F314A8" w:rsidRPr="00F8588B">
        <w:rPr>
          <w:rFonts w:hAnsi="Times New Roman" w:ascii="Times New Roman"/>
          <w:sz w:val="24"/>
          <w:szCs w:val="24"/>
        </w:rPr>
        <w:t>U Osijeku</w:t>
      </w:r>
      <w:r w:rsidR="00ED0F94" w:rsidRPr="00F8588B">
        <w:rPr>
          <w:rFonts w:hAnsi="Times New Roman" w:ascii="Times New Roman"/>
          <w:sz w:val="24"/>
          <w:szCs w:val="24"/>
        </w:rPr>
        <w:t xml:space="preserve"> </w:t>
      </w:r>
      <w:r>
        <w:rPr>
          <w:rFonts w:hAnsi="Times New Roman" w:ascii="Times New Roman"/>
          <w:sz w:val="24"/>
          <w:szCs w:val="24"/>
        </w:rPr>
        <w:t>24. veljače</w:t>
      </w:r>
      <w:r w:rsidR="00AC176B">
        <w:rPr>
          <w:rFonts w:hAnsi="Times New Roman" w:ascii="Times New Roman"/>
          <w:sz w:val="24"/>
          <w:szCs w:val="24"/>
        </w:rPr>
        <w:t xml:space="preserve"> 2017. g.</w:t>
      </w:r>
      <w:r>
        <w:rPr>
          <w:rFonts w:hAnsi="Times New Roman" w:ascii="Times New Roman"/>
          <w:sz w:val="24"/>
          <w:szCs w:val="24"/>
        </w:rPr>
        <w:tab/>
      </w:r>
    </w:p>
    <w:p w:rsidRDefault="007833E9" w:rsidP="002C1423" w:rsidR="00F314A8">
      <w:pPr>
        <w:pStyle w:val="Bezproreda"/>
        <w:tabs>
          <w:tab w:pos="6240" w:val="left"/>
        </w:tabs>
        <w:jc w:val="both"/>
        <w:rPr>
          <w:rFonts w:hAnsi="Times New Roman" w:ascii="Times New Roman"/>
          <w:sz w:val="24"/>
          <w:szCs w:val="24"/>
        </w:rPr>
      </w:pPr>
      <w:r>
        <w:rPr>
          <w:rFonts w:hAnsi="Times New Roman" w:ascii="Times New Roman"/>
          <w:sz w:val="24"/>
          <w:szCs w:val="24"/>
        </w:rPr>
        <w:tab/>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Zapisničar: Danijela Sekulić</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STEČAJNA SUTKINJA:</w:t>
      </w:r>
    </w:p>
    <w:p w:rsidRDefault="00E5438B" w:rsidP="00E5438B" w:rsid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                                                                                                             </w:t>
      </w:r>
      <w:r w:rsidR="00582FB8">
        <w:rPr>
          <w:rFonts w:hAnsi="Times New Roman" w:ascii="Times New Roman"/>
          <w:sz w:val="24"/>
          <w:szCs w:val="24"/>
        </w:rPr>
        <w:t xml:space="preserve"> </w:t>
      </w:r>
      <w:r w:rsidRPr="00E5438B">
        <w:rPr>
          <w:rFonts w:hAnsi="Times New Roman" w:ascii="Times New Roman"/>
          <w:sz w:val="24"/>
          <w:szCs w:val="24"/>
        </w:rPr>
        <w:t>Nada Roso</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POUKA O PRAVNOM LIJEKU:</w:t>
      </w:r>
    </w:p>
    <w:p w:rsidRDefault="00E5438B" w:rsidP="00E5438B" w:rsidR="00E5438B" w:rsidRPr="00E5438B">
      <w:pPr>
        <w:pStyle w:val="Bezproreda"/>
        <w:tabs>
          <w:tab w:pos="6240" w:val="left"/>
        </w:tabs>
        <w:rPr>
          <w:rFonts w:hAnsi="Times New Roman" w:ascii="Times New Roman"/>
          <w:sz w:val="24"/>
          <w:szCs w:val="24"/>
        </w:rPr>
      </w:pPr>
      <w:r w:rsidRPr="00E5438B">
        <w:rPr>
          <w:rFonts w:hAnsi="Times New Roman" w:ascii="Times New Roman"/>
          <w:sz w:val="24"/>
          <w:szCs w:val="24"/>
        </w:rPr>
        <w:t xml:space="preserve">Protiv ovog rješenja stečajni vjerovnici i stečajni upravitelj mogu u roku od 8 dana od dana dostave ovog rješenja podnijeti žalbu VTS RH Zagreb putem ovog suda u 3 primjerka. </w:t>
      </w:r>
    </w:p>
    <w:p w:rsidRDefault="00E5438B" w:rsidP="00E5438B" w:rsidR="00E5438B" w:rsidRPr="00E5438B">
      <w:pPr>
        <w:pStyle w:val="Bezproreda"/>
        <w:tabs>
          <w:tab w:pos="6240" w:val="left"/>
        </w:tabs>
        <w:rPr>
          <w:rFonts w:hAnsi="Times New Roman" w:ascii="Times New Roman"/>
          <w:sz w:val="24"/>
          <w:szCs w:val="24"/>
        </w:rPr>
      </w:pPr>
    </w:p>
    <w:p w:rsidRDefault="00E5438B" w:rsidP="00E5438B" w:rsidR="00E5438B">
      <w:pPr>
        <w:pStyle w:val="Bezproreda"/>
        <w:jc w:val="both"/>
        <w:rPr>
          <w:rFonts w:hAnsi="Times New Roman" w:ascii="Times New Roman"/>
          <w:sz w:val="24"/>
          <w:szCs w:val="24"/>
        </w:rPr>
      </w:pPr>
      <w:r>
        <w:rPr>
          <w:rFonts w:hAnsi="Times New Roman" w:ascii="Times New Roman"/>
          <w:sz w:val="24"/>
          <w:szCs w:val="24"/>
        </w:rPr>
        <w:t>DNA: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st. uprav. </w:t>
      </w:r>
      <w:r w:rsidR="00834DB3">
        <w:rPr>
          <w:rFonts w:hAnsi="Times New Roman" w:ascii="Times New Roman"/>
          <w:sz w:val="24"/>
          <w:szCs w:val="24"/>
        </w:rPr>
        <w:t>Živka Posavac</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ŽDO </w:t>
      </w:r>
      <w:r w:rsidR="00AC176B">
        <w:rPr>
          <w:rFonts w:hAnsi="Times New Roman" w:ascii="Times New Roman"/>
          <w:sz w:val="24"/>
          <w:szCs w:val="24"/>
        </w:rPr>
        <w:t>Osijek</w:t>
      </w:r>
    </w:p>
    <w:p w:rsidRDefault="003E273F"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 xml:space="preserve">FINA Osijek </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Registar TS Osijek – nakon pravomoćnosti</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e-oglasna ploča suda</w:t>
      </w:r>
    </w:p>
    <w:p w:rsidRDefault="00E5438B" w:rsidP="00A406C9" w:rsidR="00E5438B">
      <w:pPr>
        <w:pStyle w:val="Bezproreda"/>
        <w:numPr>
          <w:ilvl w:val="0"/>
          <w:numId w:val="2"/>
        </w:numPr>
        <w:jc w:val="both"/>
        <w:rPr>
          <w:rFonts w:hAnsi="Times New Roman" w:ascii="Times New Roman"/>
          <w:sz w:val="24"/>
          <w:szCs w:val="24"/>
        </w:rPr>
      </w:pPr>
      <w:r>
        <w:rPr>
          <w:rFonts w:hAnsi="Times New Roman" w:ascii="Times New Roman"/>
          <w:sz w:val="24"/>
          <w:szCs w:val="24"/>
        </w:rPr>
        <w:t>K-</w:t>
      </w:r>
      <w:r w:rsidR="00582FB8">
        <w:rPr>
          <w:rFonts w:hAnsi="Times New Roman" w:ascii="Times New Roman"/>
          <w:sz w:val="24"/>
          <w:szCs w:val="24"/>
        </w:rPr>
        <w:t>24.3.</w:t>
      </w: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72557B" w:rsidP="00020A55" w:rsidR="0072557B">
      <w:pPr>
        <w:pStyle w:val="Bezproreda"/>
        <w:jc w:val="both"/>
        <w:rPr>
          <w:rFonts w:hAnsi="Times New Roman" w:ascii="Times New Roman"/>
          <w:sz w:val="24"/>
          <w:szCs w:val="24"/>
        </w:rPr>
      </w:pPr>
    </w:p>
    <w:p w:rsidRDefault="00020A55" w:rsidP="00020A55" w:rsidR="00020A55">
      <w:pPr>
        <w:pStyle w:val="Bezproreda"/>
        <w:jc w:val="both"/>
        <w:rPr>
          <w:rFonts w:hAnsi="Times New Roman" w:ascii="Times New Roman"/>
          <w:sz w:val="24"/>
          <w:szCs w:val="24"/>
        </w:rPr>
      </w:pPr>
    </w:p>
    <w:p w:rsidRDefault="00020A55" w:rsidP="0072557B" w:rsidR="00020A55">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p>
    <w:p w:rsidRDefault="00A261B1" w:rsidP="0072557B" w:rsidR="00A261B1">
      <w:pPr>
        <w:pStyle w:val="Bezproreda"/>
        <w:ind w:firstLine="708"/>
        <w:jc w:val="both"/>
        <w:rPr>
          <w:rFonts w:hAnsi="Times New Roman" w:ascii="Times New Roman"/>
          <w:sz w:val="24"/>
          <w:szCs w:val="24"/>
        </w:rPr>
      </w:pPr>
      <w:bookmarkStart w:name="_GoBack" w:id="0"/>
      <w:bookmarkEnd w:id="0"/>
    </w:p>
    <w:sectPr w:rsidSect="000D2DDD" w:rsidR="00A261B1">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26A1" w:rsidP="00ED0F94" w:rsidR="008426A1">
      <w:pPr>
        <w:spacing w:lineRule="auto" w:line="240" w:after="0"/>
      </w:pPr>
      <w:r>
        <w:separator/>
      </w:r>
    </w:p>
  </w:endnote>
  <w:endnote w:id="0" w:type="continuationSeparator">
    <w:p w:rsidRDefault="008426A1" w:rsidP="00ED0F94" w:rsidR="008426A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26A1" w:rsidP="00ED0F94" w:rsidR="008426A1">
      <w:pPr>
        <w:spacing w:lineRule="auto" w:line="240" w:after="0"/>
      </w:pPr>
      <w:r>
        <w:separator/>
      </w:r>
    </w:p>
  </w:footnote>
  <w:footnote w:id="0" w:type="continuationSeparator">
    <w:p w:rsidRDefault="008426A1" w:rsidP="00ED0F94" w:rsidR="008426A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273F" w:rsidR="003E273F">
    <w:pPr>
      <w:pStyle w:val="Zaglavlje"/>
      <w:jc w:val="center"/>
    </w:pPr>
    <w:r>
      <w:fldChar w:fldCharType="begin"/>
    </w:r>
    <w:r>
      <w:instrText>PAGE   \* MERGEFORMAT</w:instrText>
    </w:r>
    <w:r>
      <w:fldChar w:fldCharType="separate"/>
    </w:r>
    <w:r w:rsidR="00AE3103">
      <w:rPr>
        <w:noProof/>
      </w:rPr>
      <w:t>15</w:t>
    </w:r>
    <w:r>
      <w:fldChar w:fldCharType="end"/>
    </w:r>
  </w:p>
  <w:p w:rsidRDefault="003E273F" w:rsidP="002C1423" w:rsidR="003E273F" w:rsidRPr="002C1423">
    <w:pPr>
      <w:tabs>
        <w:tab w:pos="708" w:val="left"/>
        <w:tab w:pos="1416" w:val="left"/>
        <w:tab w:pos="2124" w:val="left"/>
        <w:tab w:pos="2832" w:val="left"/>
        <w:tab w:pos="3540" w:val="left"/>
        <w:tab w:pos="4248" w:val="left"/>
        <w:tab w:pos="4956" w:val="left"/>
        <w:tab w:pos="5664" w:val="left"/>
        <w:tab w:pos="6372" w:val="left"/>
        <w:tab w:pos="7080" w:val="left"/>
        <w:tab w:pos="7788" w:val="left"/>
        <w:tab w:pos="9070" w:val="right"/>
      </w:tabs>
      <w:jc w:val="right"/>
      <w:rPr>
        <w:rFonts w:hAnsi="Times New Roman" w:ascii="Times New Roman"/>
        <w:sz w:val="24"/>
        <w:szCs w:val="24"/>
      </w:rPr>
    </w:pPr>
    <w:r w:rsidRPr="0041605D">
      <w:rPr>
        <w:rFonts w:hAnsi="Times New Roman" w:ascii="Times New Roman"/>
        <w:sz w:val="24"/>
        <w:szCs w:val="24"/>
      </w:rPr>
      <w:t>Broj: 6 St-</w:t>
    </w:r>
    <w:r>
      <w:rPr>
        <w:rFonts w:hAnsi="Times New Roman" w:ascii="Times New Roman"/>
        <w:sz w:val="24"/>
        <w:szCs w:val="24"/>
      </w:rPr>
      <w:t>368/14-70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A56A3"/>
    <w:multiLevelType w:val="hybridMultilevel"/>
    <w:tmpl w:val="B1C09E52"/>
    <w:lvl w:tplc="FC086F7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097621C3"/>
    <w:multiLevelType w:val="hybridMultilevel"/>
    <w:tmpl w:val="C8027B7E"/>
    <w:lvl w:tplc="EEE2DC7C" w:ilvl="0">
      <w:start w:val="1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4A242C6"/>
    <w:multiLevelType w:val="hybridMultilevel"/>
    <w:tmpl w:val="11180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797245E"/>
    <w:multiLevelType w:val="hybridMultilevel"/>
    <w:tmpl w:val="1220BCB8"/>
    <w:lvl w:tplc="801C3614"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192134E3"/>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B984C6A"/>
    <w:multiLevelType w:val="hybridMultilevel"/>
    <w:tmpl w:val="244A91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7">
    <w:nsid w:val="1C9A6FB8"/>
    <w:multiLevelType w:val="hybridMultilevel"/>
    <w:tmpl w:val="2C60DC92"/>
    <w:lvl w:tplc="E37A5090"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3B2229D"/>
    <w:multiLevelType w:val="hybridMultilevel"/>
    <w:tmpl w:val="CF9E5750"/>
    <w:lvl w:tplc="E8C2E52E"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9">
    <w:nsid w:val="281605B7"/>
    <w:multiLevelType w:val="hybridMultilevel"/>
    <w:tmpl w:val="0F0CB9E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291D6E14"/>
    <w:multiLevelType w:val="hybridMultilevel"/>
    <w:tmpl w:val="C1F08710"/>
    <w:lvl w:tplc="E86AC860"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1">
    <w:nsid w:val="2CD513E5"/>
    <w:multiLevelType w:val="hybridMultilevel"/>
    <w:tmpl w:val="68C245EA"/>
    <w:lvl w:tplc="E230F884"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2">
    <w:nsid w:val="2EB64877"/>
    <w:multiLevelType w:val="hybridMultilevel"/>
    <w:tmpl w:val="9CA03B40"/>
    <w:lvl w:tplc="D00E3FEC"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13">
    <w:nsid w:val="3554253A"/>
    <w:multiLevelType w:val="hybridMultilevel"/>
    <w:tmpl w:val="6C3A61A2"/>
    <w:lvl w:tplc="10C266D4"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37C1271D"/>
    <w:multiLevelType w:val="hybridMultilevel"/>
    <w:tmpl w:val="ED4E71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9D572A0"/>
    <w:multiLevelType w:val="hybridMultilevel"/>
    <w:tmpl w:val="DD1CFC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3A3073DE"/>
    <w:multiLevelType w:val="hybridMultilevel"/>
    <w:tmpl w:val="A69E74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41C71E42"/>
    <w:multiLevelType w:val="hybridMultilevel"/>
    <w:tmpl w:val="BA6401CA"/>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8">
    <w:nsid w:val="46457A85"/>
    <w:multiLevelType w:val="hybridMultilevel"/>
    <w:tmpl w:val="B93CAE78"/>
    <w:lvl w:tplc="FCF29C70" w:ilvl="0">
      <w:start w:val="1"/>
      <w:numFmt w:val="decimal"/>
      <w:lvlText w:val="%1."/>
      <w:lvlJc w:val="left"/>
      <w:pPr>
        <w:ind w:hanging="360" w:left="720"/>
      </w:pPr>
      <w:rPr>
        <w:b/>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9">
    <w:nsid w:val="4CB45AA7"/>
    <w:multiLevelType w:val="hybridMultilevel"/>
    <w:tmpl w:val="27CC20D0"/>
    <w:lvl w:tplc="1E72569C" w:ilvl="0">
      <w:start w:val="3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20">
    <w:nsid w:val="4D7D6AB0"/>
    <w:multiLevelType w:val="hybridMultilevel"/>
    <w:tmpl w:val="2AAC8CE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1">
    <w:nsid w:val="546C74AF"/>
    <w:multiLevelType w:val="hybridMultilevel"/>
    <w:tmpl w:val="9CCCA4A0"/>
    <w:lvl w:tplc="041A000F" w:ilvl="0">
      <w:start w:val="8"/>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2">
    <w:nsid w:val="5C462656"/>
    <w:multiLevelType w:val="hybridMultilevel"/>
    <w:tmpl w:val="023C235E"/>
    <w:lvl w:tplc="956024E0" w:ilvl="0">
      <w:start w:val="1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5C4A4451"/>
    <w:multiLevelType w:val="hybridMultilevel"/>
    <w:tmpl w:val="A7062642"/>
    <w:lvl w:tplc="ABA8B5A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663A11EB"/>
    <w:multiLevelType w:val="hybridMultilevel"/>
    <w:tmpl w:val="D948463E"/>
    <w:lvl w:tplc="91B2FE00" w:ilvl="0">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5">
    <w:nsid w:val="68055F82"/>
    <w:multiLevelType w:val="hybridMultilevel"/>
    <w:tmpl w:val="0A24489E"/>
    <w:lvl w:tplc="418E53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6">
    <w:nsid w:val="6ABD2505"/>
    <w:multiLevelType w:val="hybridMultilevel"/>
    <w:tmpl w:val="EB605CFC"/>
    <w:lvl w:tplc="3556B43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6B0A2D6D"/>
    <w:multiLevelType w:val="hybridMultilevel"/>
    <w:tmpl w:val="6784A784"/>
    <w:lvl w:tplc="AEB621C2" w:ilvl="0">
      <w:start w:val="1"/>
      <w:numFmt w:val="decimal"/>
      <w:lvlText w:val="%1."/>
      <w:lvlJc w:val="left"/>
      <w:pPr>
        <w:tabs>
          <w:tab w:pos="1668" w:val="num"/>
        </w:tabs>
        <w:ind w:hanging="960" w:left="16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8">
    <w:nsid w:val="6BB96151"/>
    <w:multiLevelType w:val="hybridMultilevel"/>
    <w:tmpl w:val="55A04C8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6F9F64EC"/>
    <w:multiLevelType w:val="hybridMultilevel"/>
    <w:tmpl w:val="C5A25946"/>
    <w:lvl w:tplc="76506A76" w:ilvl="0">
      <w:start w:val="1"/>
      <w:numFmt w:val="decimal"/>
      <w:lvlText w:val="%1."/>
      <w:lvlJc w:val="left"/>
      <w:pPr>
        <w:ind w:hanging="975" w:left="16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70EA114D"/>
    <w:multiLevelType w:val="hybridMultilevel"/>
    <w:tmpl w:val="2B90B282"/>
    <w:lvl w:tplc="6E923B8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1">
    <w:nsid w:val="714A7330"/>
    <w:multiLevelType w:val="hybridMultilevel"/>
    <w:tmpl w:val="34284130"/>
    <w:lvl w:tplc="07DE2FE0" w:ilvl="0">
      <w:numFmt w:val="bullet"/>
      <w:lvlText w:val="-"/>
      <w:lvlJc w:val="left"/>
      <w:pPr>
        <w:tabs>
          <w:tab w:pos="1578" w:val="num"/>
        </w:tabs>
        <w:ind w:hanging="870" w:left="157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2">
    <w:nsid w:val="74762B62"/>
    <w:multiLevelType w:val="hybridMultilevel"/>
    <w:tmpl w:val="9612B8AA"/>
    <w:lvl w:tplc="ADA884EA" w:ilvl="0">
      <w:start w:val="7"/>
      <w:numFmt w:val="bullet"/>
      <w:lvlText w:val="-"/>
      <w:lvlJc w:val="left"/>
      <w:pPr>
        <w:ind w:hanging="360" w:left="720"/>
      </w:pPr>
      <w:rPr>
        <w:rFonts w:cs="Times New Roman" w:eastAsia="Calibri"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3"/>
  </w:num>
  <w:num w:numId="2">
    <w:abstractNumId w:val="14"/>
  </w:num>
  <w:num w:numId="3">
    <w:abstractNumId w:val="22"/>
  </w:num>
  <w:num w:numId="4">
    <w:abstractNumId w:val="2"/>
  </w:num>
  <w:num w:numId="5">
    <w:abstractNumId w:val="3"/>
  </w:num>
  <w:num w:numId="6">
    <w:abstractNumId w:val="27"/>
  </w:num>
  <w:num w:numId="7">
    <w:abstractNumId w:val="23"/>
  </w:num>
  <w:num w:numId="8">
    <w:abstractNumId w:val="31"/>
  </w:num>
  <w:num w:numId="9">
    <w:abstractNumId w:val="8"/>
  </w:num>
  <w:num w:numId="10">
    <w:abstractNumId w:val="6"/>
  </w:num>
  <w:num w:numId="11">
    <w:abstractNumId w:val="1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6"/>
  </w:num>
  <w:num w:numId="17">
    <w:abstractNumId w:val="25"/>
  </w:num>
  <w:num w:numId="18">
    <w:abstractNumId w:val="19"/>
  </w:num>
  <w:num w:numId="19">
    <w:abstractNumId w:val="29"/>
  </w:num>
  <w:num w:numId="20">
    <w:abstractNumId w:val="4"/>
  </w:num>
  <w:num w:numId="21">
    <w:abstractNumId w:val="7"/>
  </w:num>
  <w:num w:numId="22">
    <w:abstractNumId w:val="9"/>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num>
  <w:num w:numId="39">
    <w:abstractNumId w:val="30"/>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1232F"/>
    <w:rsid w:val="00015ABD"/>
    <w:rsid w:val="00020A55"/>
    <w:rsid w:val="000219BF"/>
    <w:rsid w:val="00065080"/>
    <w:rsid w:val="000942EF"/>
    <w:rsid w:val="00097CC0"/>
    <w:rsid w:val="000B583C"/>
    <w:rsid w:val="000D2A5B"/>
    <w:rsid w:val="000D2DDD"/>
    <w:rsid w:val="000F43C9"/>
    <w:rsid w:val="0012330B"/>
    <w:rsid w:val="001539F0"/>
    <w:rsid w:val="00166691"/>
    <w:rsid w:val="00170010"/>
    <w:rsid w:val="00176CCF"/>
    <w:rsid w:val="00180EFF"/>
    <w:rsid w:val="001E2A3D"/>
    <w:rsid w:val="001F45C5"/>
    <w:rsid w:val="00273331"/>
    <w:rsid w:val="002C1423"/>
    <w:rsid w:val="002C41A8"/>
    <w:rsid w:val="002E2590"/>
    <w:rsid w:val="00321C4C"/>
    <w:rsid w:val="00352B6A"/>
    <w:rsid w:val="003540D6"/>
    <w:rsid w:val="00366B2D"/>
    <w:rsid w:val="003711F0"/>
    <w:rsid w:val="00375DDD"/>
    <w:rsid w:val="00376A45"/>
    <w:rsid w:val="0039439A"/>
    <w:rsid w:val="0039558B"/>
    <w:rsid w:val="003C1C2B"/>
    <w:rsid w:val="003C4F6F"/>
    <w:rsid w:val="003C77E0"/>
    <w:rsid w:val="003D315F"/>
    <w:rsid w:val="003E273F"/>
    <w:rsid w:val="00404F3C"/>
    <w:rsid w:val="0041605D"/>
    <w:rsid w:val="00417A2B"/>
    <w:rsid w:val="00426E86"/>
    <w:rsid w:val="004375CF"/>
    <w:rsid w:val="00437983"/>
    <w:rsid w:val="0044016F"/>
    <w:rsid w:val="0046011C"/>
    <w:rsid w:val="004739DB"/>
    <w:rsid w:val="004905B9"/>
    <w:rsid w:val="004A1FA5"/>
    <w:rsid w:val="004C0175"/>
    <w:rsid w:val="004C178A"/>
    <w:rsid w:val="004F79F8"/>
    <w:rsid w:val="00551939"/>
    <w:rsid w:val="00554530"/>
    <w:rsid w:val="00573829"/>
    <w:rsid w:val="00582FB8"/>
    <w:rsid w:val="005851D8"/>
    <w:rsid w:val="005979D5"/>
    <w:rsid w:val="005B1F43"/>
    <w:rsid w:val="005D1321"/>
    <w:rsid w:val="00622C96"/>
    <w:rsid w:val="00651763"/>
    <w:rsid w:val="006639B4"/>
    <w:rsid w:val="0067306F"/>
    <w:rsid w:val="0067569E"/>
    <w:rsid w:val="00682B77"/>
    <w:rsid w:val="006A1059"/>
    <w:rsid w:val="006C4385"/>
    <w:rsid w:val="0072557B"/>
    <w:rsid w:val="0074522F"/>
    <w:rsid w:val="00752475"/>
    <w:rsid w:val="00753198"/>
    <w:rsid w:val="007833E9"/>
    <w:rsid w:val="007B6948"/>
    <w:rsid w:val="007C72F7"/>
    <w:rsid w:val="0081116B"/>
    <w:rsid w:val="0081138D"/>
    <w:rsid w:val="00821D56"/>
    <w:rsid w:val="00834DB3"/>
    <w:rsid w:val="00834F06"/>
    <w:rsid w:val="008426A1"/>
    <w:rsid w:val="008475B1"/>
    <w:rsid w:val="00887529"/>
    <w:rsid w:val="00893BE5"/>
    <w:rsid w:val="008B4458"/>
    <w:rsid w:val="008D6FC8"/>
    <w:rsid w:val="008F78B3"/>
    <w:rsid w:val="00901480"/>
    <w:rsid w:val="0090484A"/>
    <w:rsid w:val="0093701A"/>
    <w:rsid w:val="0095694F"/>
    <w:rsid w:val="0097707D"/>
    <w:rsid w:val="00985F74"/>
    <w:rsid w:val="009A0499"/>
    <w:rsid w:val="009A4F85"/>
    <w:rsid w:val="009B5376"/>
    <w:rsid w:val="009D4867"/>
    <w:rsid w:val="009F47BE"/>
    <w:rsid w:val="00A261B1"/>
    <w:rsid w:val="00A3371E"/>
    <w:rsid w:val="00A406C9"/>
    <w:rsid w:val="00A51553"/>
    <w:rsid w:val="00A601A9"/>
    <w:rsid w:val="00A618A0"/>
    <w:rsid w:val="00A875E2"/>
    <w:rsid w:val="00AB3DEE"/>
    <w:rsid w:val="00AC176B"/>
    <w:rsid w:val="00AC6D07"/>
    <w:rsid w:val="00AC6EB0"/>
    <w:rsid w:val="00AE1810"/>
    <w:rsid w:val="00AE3103"/>
    <w:rsid w:val="00B071A9"/>
    <w:rsid w:val="00B1188C"/>
    <w:rsid w:val="00B73840"/>
    <w:rsid w:val="00B834B5"/>
    <w:rsid w:val="00BA53CB"/>
    <w:rsid w:val="00BE0DC1"/>
    <w:rsid w:val="00C06036"/>
    <w:rsid w:val="00C10736"/>
    <w:rsid w:val="00C316F8"/>
    <w:rsid w:val="00C43E65"/>
    <w:rsid w:val="00C77838"/>
    <w:rsid w:val="00C97F87"/>
    <w:rsid w:val="00CA1194"/>
    <w:rsid w:val="00CB10D2"/>
    <w:rsid w:val="00CD23EB"/>
    <w:rsid w:val="00CE019E"/>
    <w:rsid w:val="00CF4FAA"/>
    <w:rsid w:val="00CF6A3F"/>
    <w:rsid w:val="00CF7990"/>
    <w:rsid w:val="00D22668"/>
    <w:rsid w:val="00D74553"/>
    <w:rsid w:val="00D870FD"/>
    <w:rsid w:val="00DB2D35"/>
    <w:rsid w:val="00DC0977"/>
    <w:rsid w:val="00DC22CC"/>
    <w:rsid w:val="00DC430E"/>
    <w:rsid w:val="00DD40C7"/>
    <w:rsid w:val="00DF138F"/>
    <w:rsid w:val="00DF1BF8"/>
    <w:rsid w:val="00E34D12"/>
    <w:rsid w:val="00E5438B"/>
    <w:rsid w:val="00E875F2"/>
    <w:rsid w:val="00E87C46"/>
    <w:rsid w:val="00E96EFB"/>
    <w:rsid w:val="00EB7157"/>
    <w:rsid w:val="00EC70B0"/>
    <w:rsid w:val="00ED0F94"/>
    <w:rsid w:val="00EE6EBF"/>
    <w:rsid w:val="00F26640"/>
    <w:rsid w:val="00F2780A"/>
    <w:rsid w:val="00F314A8"/>
    <w:rsid w:val="00F31677"/>
    <w:rsid w:val="00F31C28"/>
    <w:rsid w:val="00F3298B"/>
    <w:rsid w:val="00F4426E"/>
    <w:rsid w:val="00F8588B"/>
    <w:rsid w:val="00F91FB8"/>
    <w:rsid w:val="00FD3A6B"/>
    <w:rsid w:val="00FE2424"/>
    <w:rsid w:val="00FE5E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2"/>
    <w:lsdException w:uiPriority="0" w:name="Hyperlink"/>
    <w:lsdException w:qFormat="true" w:unhideWhenUsed="false" w:semiHidden="false" w:uiPriority="0" w:name="Strong"/>
    <w:lsdException w:qFormat="true" w:unhideWhenUsed="false" w:semiHidden="false" w:uiPriority="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1C28"/>
    <w:pPr>
      <w:spacing w:lineRule="auto" w:line="276" w:after="200"/>
    </w:pPr>
    <w:rPr>
      <w:sz w:val="22"/>
      <w:szCs w:val="22"/>
      <w:lang w:eastAsia="en-US"/>
    </w:rPr>
  </w:style>
  <w:style w:styleId="Naslov1" w:type="paragraph">
    <w:name w:val="heading 1"/>
    <w:basedOn w:val="Normal"/>
    <w:next w:val="Normal"/>
    <w:link w:val="Naslov1Char"/>
    <w:qFormat/>
    <w:rsid w:val="008F78B3"/>
    <w:pPr>
      <w:keepNext/>
      <w:spacing w:lineRule="auto" w:line="240" w:after="0"/>
      <w:jc w:val="center"/>
      <w:outlineLvl w:val="0"/>
    </w:pPr>
    <w:rPr>
      <w:rFonts w:eastAsia="Times New Roman" w:hAnsi="Times New Roman" w:asci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F78B3"/>
    <w:rPr>
      <w:rFonts w:eastAsia="Times New Roman" w:hAnsi="Times New Roman" w:ascii="Times New Roman"/>
      <w:b/>
      <w:bCs/>
      <w:sz w:val="24"/>
      <w:szCs w:val="24"/>
    </w:rPr>
  </w:style>
  <w:style w:styleId="Bezproreda" w:type="paragraph">
    <w:name w:val="No Spacing"/>
    <w:uiPriority w:val="1"/>
    <w:qFormat/>
    <w:rsid w:val="00404F3C"/>
    <w:rPr>
      <w:sz w:val="22"/>
      <w:szCs w:val="22"/>
      <w:lang w:eastAsia="en-US"/>
    </w:rPr>
  </w:style>
  <w:style w:customStyle="true"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nhideWhenUsed/>
    <w:rsid w:val="00ED0F94"/>
    <w:pPr>
      <w:tabs>
        <w:tab w:pos="4536" w:val="center"/>
        <w:tab w:pos="9072" w:val="right"/>
      </w:tabs>
    </w:pPr>
  </w:style>
  <w:style w:customStyle="true" w:styleId="ZaglavljeChar" w:type="character">
    <w:name w:val="Zaglavlje Char"/>
    <w:link w:val="Zaglavlje"/>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true"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lineRule="auto" w:line="240" w:afterAutospacing="true" w:after="100" w:beforeAutospacing="true" w:before="100"/>
    </w:pPr>
    <w:rPr>
      <w:rFonts w:eastAsia="SimSun" w:hAnsi="Times New Roman" w:ascii="Times New Roman"/>
      <w:sz w:val="24"/>
      <w:szCs w:val="24"/>
      <w:lang w:eastAsia="zh-CN" w:val="en-US"/>
    </w:rPr>
  </w:style>
  <w:style w:styleId="Tijeloteksta" w:type="paragraph">
    <w:name w:val="Body Text"/>
    <w:basedOn w:val="Normal"/>
    <w:link w:val="TijelotekstaChar"/>
    <w:rsid w:val="0039558B"/>
    <w:pPr>
      <w:spacing w:lineRule="auto" w:line="240" w:after="120"/>
    </w:pPr>
    <w:rPr>
      <w:rFonts w:eastAsia="Times New Roman" w:hAnsi="Times New Roman" w:ascii="Times New Roman"/>
      <w:sz w:val="24"/>
      <w:szCs w:val="24"/>
      <w:lang w:eastAsia="hr-HR"/>
    </w:rPr>
  </w:style>
  <w:style w:customStyle="true" w:styleId="TijelotekstaChar" w:type="character">
    <w:name w:val="Tijelo teksta Char"/>
    <w:link w:val="Tijeloteksta"/>
    <w:rsid w:val="0039558B"/>
    <w:rPr>
      <w:rFonts w:eastAsia="Times New Roman" w:hAnsi="Times New Roman" w:asci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true"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lineRule="auto" w:line="240" w:after="0"/>
    </w:pPr>
    <w:rPr>
      <w:rFonts w:cs="Tahoma" w:hAnsi="Tahoma" w:ascii="Tahoma"/>
      <w:sz w:val="16"/>
      <w:szCs w:val="16"/>
    </w:rPr>
  </w:style>
  <w:style w:customStyle="true" w:styleId="TekstbaloniaChar" w:type="character">
    <w:name w:val="Tekst balončića Char"/>
    <w:link w:val="Tekstbalonia"/>
    <w:uiPriority w:val="99"/>
    <w:rsid w:val="000F43C9"/>
    <w:rPr>
      <w:rFonts w:cs="Tahoma" w:hAnsi="Tahoma" w:ascii="Tahoma"/>
      <w:sz w:val="16"/>
      <w:szCs w:val="16"/>
      <w:lang w:eastAsia="en-US"/>
    </w:rPr>
  </w:style>
  <w:style w:customStyle="true" w:styleId="Bezproreda1" w:type="paragraph">
    <w:name w:val="Bez proreda1"/>
    <w:uiPriority w:val="1"/>
    <w:qFormat/>
    <w:rsid w:val="0041605D"/>
    <w:pPr>
      <w:overflowPunct w:val="false"/>
      <w:autoSpaceDE w:val="false"/>
      <w:autoSpaceDN w:val="false"/>
      <w:adjustRightInd w:val="false"/>
      <w:textAlignment w:val="baseline"/>
    </w:pPr>
    <w:rPr>
      <w:rFonts w:eastAsia="Times New Roman" w:hAnsi="Times New Roman" w:asci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lineRule="auto" w:line="240" w:after="0"/>
      <w:jc w:val="both"/>
    </w:pPr>
    <w:rPr>
      <w:rFonts w:cs="Tahoma" w:eastAsia="Times New Roman" w:hAnsi="Tahoma" w:ascii="Tahoma"/>
      <w:noProof/>
      <w:sz w:val="24"/>
      <w:szCs w:val="20"/>
      <w:lang w:eastAsia="hr-HR"/>
    </w:rPr>
  </w:style>
  <w:style w:customStyle="true" w:styleId="Tijeloteksta2Char" w:type="character">
    <w:name w:val="Tijelo teksta 2 Char"/>
    <w:basedOn w:val="Zadanifontodlomka"/>
    <w:link w:val="Tijeloteksta2"/>
    <w:rsid w:val="008F78B3"/>
    <w:rPr>
      <w:rFonts w:cs="Tahoma" w:eastAsia="Times New Roman" w:hAnsi="Tahoma" w:ascii="Tahoma"/>
      <w:noProof/>
      <w:sz w:val="24"/>
    </w:rPr>
  </w:style>
  <w:style w:styleId="Naslov" w:type="paragraph">
    <w:name w:val="Title"/>
    <w:basedOn w:val="Normal"/>
    <w:next w:val="Normal"/>
    <w:link w:val="NaslovChar"/>
    <w:uiPriority w:val="10"/>
    <w:qFormat/>
    <w:rsid w:val="008F78B3"/>
    <w:pPr>
      <w:spacing w:lineRule="auto" w:line="240" w:after="0"/>
      <w:contextualSpacing/>
    </w:pPr>
    <w:rPr>
      <w:rFonts w:eastAsia="Times New Roman" w:hAnsi="Calibri Light" w:ascii="Calibri Light"/>
      <w:spacing w:val="-10"/>
      <w:kern w:val="28"/>
      <w:sz w:val="56"/>
      <w:szCs w:val="56"/>
    </w:rPr>
  </w:style>
  <w:style w:customStyle="true" w:styleId="NaslovChar" w:type="character">
    <w:name w:val="Naslov Char"/>
    <w:basedOn w:val="Zadanifontodlomka"/>
    <w:link w:val="Naslov"/>
    <w:uiPriority w:val="10"/>
    <w:rsid w:val="008F78B3"/>
    <w:rPr>
      <w:rFonts w:eastAsia="Times New Roman" w:hAnsi="Calibri Light" w:asci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true" w:styleId="xl63" w:type="paragraph">
    <w:name w:val="xl63"/>
    <w:basedOn w:val="Normal"/>
    <w:rsid w:val="007B6948"/>
    <w:pPr>
      <w:spacing w:lineRule="auto" w:line="240" w:afterAutospacing="true" w:after="100" w:beforeAutospacing="true" w:before="100"/>
    </w:pPr>
    <w:rPr>
      <w:rFonts w:eastAsia="Times New Roman" w:hAnsi="Times New Roman" w:ascii="Times New Roman"/>
      <w:sz w:val="16"/>
      <w:szCs w:val="16"/>
      <w:lang w:eastAsia="hr-HR"/>
    </w:rPr>
  </w:style>
  <w:style w:customStyle="true" w:styleId="xl64" w:type="paragraph">
    <w:name w:val="xl6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5" w:type="paragraph">
    <w:name w:val="xl65"/>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66" w:type="paragraph">
    <w:name w:val="xl66"/>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7" w:type="paragraph">
    <w:name w:val="xl67"/>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8" w:type="paragraph">
    <w:name w:val="xl68"/>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69" w:type="paragraph">
    <w:name w:val="xl6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sz w:val="16"/>
      <w:szCs w:val="16"/>
      <w:lang w:eastAsia="hr-HR"/>
    </w:rPr>
  </w:style>
  <w:style w:customStyle="true" w:styleId="xl70" w:type="paragraph">
    <w:name w:val="xl7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1" w:type="paragraph">
    <w:name w:val="xl71"/>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2" w:type="paragraph">
    <w:name w:val="xl72"/>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sz w:val="16"/>
      <w:szCs w:val="16"/>
      <w:lang w:eastAsia="hr-HR"/>
    </w:rPr>
  </w:style>
  <w:style w:customStyle="true" w:styleId="xl73" w:type="paragraph">
    <w:name w:val="xl73"/>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sz w:val="16"/>
      <w:szCs w:val="16"/>
      <w:lang w:eastAsia="hr-HR"/>
    </w:rPr>
  </w:style>
  <w:style w:customStyle="true" w:styleId="xl74" w:type="paragraph">
    <w:name w:val="xl74"/>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5" w:type="paragraph">
    <w:name w:val="xl75"/>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jc w:val="right"/>
    </w:pPr>
    <w:rPr>
      <w:rFonts w:eastAsia="Times New Roman" w:hAnsi="Times New Roman" w:ascii="Times New Roman"/>
      <w:b/>
      <w:bCs/>
      <w:sz w:val="16"/>
      <w:szCs w:val="16"/>
      <w:lang w:eastAsia="hr-HR"/>
    </w:rPr>
  </w:style>
  <w:style w:customStyle="true" w:styleId="xl76" w:type="paragraph">
    <w:name w:val="xl76"/>
    <w:basedOn w:val="Normal"/>
    <w:rsid w:val="007B6948"/>
    <w:pPr>
      <w:pBdr>
        <w:top w:space="0" w:sz="4" w:color="auto" w:val="single"/>
        <w:left w:space="0" w:sz="4" w:color="auto" w:val="single"/>
        <w:bottom w:space="0" w:sz="4" w:color="auto" w:val="single"/>
        <w:right w:space="0" w:sz="4" w:color="auto" w:val="single"/>
      </w:pBdr>
      <w:shd w:fill="C5D9F1" w:color="auto" w:val="clea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7" w:type="paragraph">
    <w:name w:val="xl77"/>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pPr>
    <w:rPr>
      <w:rFonts w:eastAsia="Times New Roman" w:hAnsi="Times New Roman" w:ascii="Times New Roman"/>
      <w:b/>
      <w:bCs/>
      <w:sz w:val="16"/>
      <w:szCs w:val="16"/>
      <w:lang w:eastAsia="hr-HR"/>
    </w:rPr>
  </w:style>
  <w:style w:customStyle="true" w:styleId="xl78" w:type="paragraph">
    <w:name w:val="xl78"/>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xl79" w:type="paragraph">
    <w:name w:val="xl79"/>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sz w:val="16"/>
      <w:szCs w:val="16"/>
      <w:lang w:eastAsia="hr-HR"/>
    </w:rPr>
  </w:style>
  <w:style w:customStyle="true" w:styleId="xl80" w:type="paragraph">
    <w:name w:val="xl80"/>
    <w:basedOn w:val="Normal"/>
    <w:rsid w:val="007B694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pPr>
    <w:rPr>
      <w:rFonts w:eastAsia="Times New Roman" w:hAnsi="Times New Roman" w:ascii="Times New Roman"/>
      <w:b/>
      <w:bCs/>
      <w:sz w:val="16"/>
      <w:szCs w:val="16"/>
      <w:lang w:eastAsia="hr-HR"/>
    </w:rPr>
  </w:style>
  <w:style w:customStyle="true" w:styleId="Naslov2Char" w:type="character">
    <w:name w:val="Naslov 2 Char"/>
    <w:basedOn w:val="Zadanifontodlomka"/>
    <w:link w:val="Naslov2"/>
    <w:uiPriority w:val="9"/>
    <w:semiHidden/>
    <w:rsid w:val="00C06036"/>
    <w:rPr>
      <w:rFonts w:cstheme="majorBidi" w:eastAsiaTheme="majorEastAsia" w:hAnsiTheme="majorHAnsi" w:asci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true" w:styleId="UvuenotijelotekstaChar" w:type="character">
    <w:name w:val="Uvučeno tijelo teksta Char"/>
    <w:basedOn w:val="Zadanifontodlomka"/>
    <w:link w:val="Uvuenotijeloteksta"/>
    <w:uiPriority w:val="99"/>
    <w:semiHidden/>
    <w:rsid w:val="00C06036"/>
    <w:rPr>
      <w:sz w:val="22"/>
      <w:szCs w:val="22"/>
      <w:lang w:eastAsia="en-US"/>
    </w:rPr>
  </w:style>
  <w:style w:customStyle="true" w:styleId="Naslov3Char" w:type="character">
    <w:name w:val="Naslov 3 Char"/>
    <w:basedOn w:val="Zadanifontodlomka"/>
    <w:link w:val="Naslov3"/>
    <w:uiPriority w:val="9"/>
    <w:semiHidden/>
    <w:rsid w:val="00C06036"/>
    <w:rPr>
      <w:rFonts w:cstheme="majorBidi" w:eastAsiaTheme="majorEastAsia" w:hAnsiTheme="majorHAnsi" w:asciiTheme="majorHAnsi"/>
      <w:b/>
      <w:bCs/>
      <w:color w:themeColor="accent1" w:val="4F81BD"/>
      <w:sz w:val="22"/>
      <w:szCs w:val="22"/>
      <w:lang w:eastAsia="en-US"/>
    </w:rPr>
  </w:style>
  <w:style w:styleId="Reetkatablice" w:type="table">
    <w:name w:val="Table Grid"/>
    <w:basedOn w:val="Obinatablica"/>
    <w:uiPriority w:val="59"/>
    <w:rsid w:val="00834DB3"/>
    <w:rPr>
      <w:rFonts w:eastAsia="Times New Roman"/>
      <w:sz w:val="22"/>
      <w:szCs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E3103"/>
    <w:rPr>
      <w:color w:val="808080"/>
      <w:bdr w:space="0" w:sz="0" w:color="auto" w:val="none"/>
      <w:shd w:fill="CCFFFF" w:color="auto" w:val="clear"/>
    </w:rPr>
  </w:style>
  <w:style w:customStyle="true" w:styleId="eSPISCCParagraphDefaultFont" w:type="character">
    <w:name w:val="eSPIS_CC_Paragraph Default Font"/>
    <w:basedOn w:val="Zadanifontodlomka"/>
    <w:rsid w:val="00AE310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310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310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310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2" w:uiPriority="0"/>
    <w:lsdException w:name="Hyperlink" w:uiPriority="0"/>
    <w:lsdException w:name="Strong" w:qFormat="1" w:semiHidden="0" w:uiPriority="0" w:unhideWhenUsed="0"/>
    <w:lsdException w:name="Emphasis" w:qFormat="1" w:semiHidden="0" w:uiPriority="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1C28"/>
    <w:pPr>
      <w:spacing w:after="200" w:line="276" w:lineRule="auto"/>
    </w:pPr>
    <w:rPr>
      <w:sz w:val="22"/>
      <w:szCs w:val="22"/>
      <w:lang w:eastAsia="en-US"/>
    </w:rPr>
  </w:style>
  <w:style w:styleId="Naslov1" w:type="paragraph">
    <w:name w:val="heading 1"/>
    <w:basedOn w:val="Normal"/>
    <w:next w:val="Normal"/>
    <w:link w:val="Naslov1Char"/>
    <w:qFormat/>
    <w:rsid w:val="008F78B3"/>
    <w:pPr>
      <w:keepNext/>
      <w:spacing w:after="0" w:line="240" w:lineRule="auto"/>
      <w:jc w:val="center"/>
      <w:outlineLvl w:val="0"/>
    </w:pPr>
    <w:rPr>
      <w:rFonts w:ascii="Times New Roman" w:eastAsia="Times New Roman" w:hAnsi="Times New Roman"/>
      <w:b/>
      <w:bCs/>
      <w:sz w:val="24"/>
      <w:szCs w:val="24"/>
      <w:lang w:eastAsia="hr-HR"/>
    </w:rPr>
  </w:style>
  <w:style w:styleId="Naslov2" w:type="paragraph">
    <w:name w:val="heading 2"/>
    <w:basedOn w:val="Normal"/>
    <w:next w:val="Normal"/>
    <w:link w:val="Naslov2Char"/>
    <w:uiPriority w:val="9"/>
    <w:semiHidden/>
    <w:unhideWhenUsed/>
    <w:qFormat/>
    <w:rsid w:val="00C06036"/>
    <w:pPr>
      <w:keepNext/>
      <w:keepLines/>
      <w:spacing w:after="0"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link w:val="Naslov3Char"/>
    <w:uiPriority w:val="9"/>
    <w:semiHidden/>
    <w:unhideWhenUsed/>
    <w:qFormat/>
    <w:rsid w:val="00C06036"/>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F78B3"/>
    <w:rPr>
      <w:rFonts w:ascii="Times New Roman" w:eastAsia="Times New Roman" w:hAnsi="Times New Roman"/>
      <w:b/>
      <w:bCs/>
      <w:sz w:val="24"/>
      <w:szCs w:val="24"/>
    </w:rPr>
  </w:style>
  <w:style w:styleId="Bezproreda" w:type="paragraph">
    <w:name w:val="No Spacing"/>
    <w:uiPriority w:val="1"/>
    <w:qFormat/>
    <w:rsid w:val="00404F3C"/>
    <w:rPr>
      <w:sz w:val="22"/>
      <w:szCs w:val="22"/>
      <w:lang w:eastAsia="en-US"/>
    </w:rPr>
  </w:style>
  <w:style w:customStyle="1" w:styleId="tabletextfield" w:type="character">
    <w:name w:val="table_text_field"/>
    <w:basedOn w:val="Zadanifontodlomka"/>
    <w:rsid w:val="00404F3C"/>
  </w:style>
  <w:style w:styleId="Odlomakpopisa" w:type="paragraph">
    <w:name w:val="List Paragraph"/>
    <w:basedOn w:val="Normal"/>
    <w:uiPriority w:val="34"/>
    <w:qFormat/>
    <w:rsid w:val="00BE0DC1"/>
    <w:pPr>
      <w:ind w:left="720"/>
      <w:contextualSpacing/>
    </w:pPr>
  </w:style>
  <w:style w:styleId="Zaglavlje" w:type="paragraph">
    <w:name w:val="header"/>
    <w:basedOn w:val="Normal"/>
    <w:link w:val="ZaglavljeChar"/>
    <w:unhideWhenUsed/>
    <w:rsid w:val="00ED0F94"/>
    <w:pPr>
      <w:tabs>
        <w:tab w:pos="4536" w:val="center"/>
        <w:tab w:pos="9072" w:val="right"/>
      </w:tabs>
    </w:pPr>
  </w:style>
  <w:style w:customStyle="1" w:styleId="ZaglavljeChar" w:type="character">
    <w:name w:val="Zaglavlje Char"/>
    <w:link w:val="Zaglavlje"/>
    <w:rsid w:val="00ED0F94"/>
    <w:rPr>
      <w:sz w:val="22"/>
      <w:szCs w:val="22"/>
      <w:lang w:eastAsia="en-US"/>
    </w:rPr>
  </w:style>
  <w:style w:styleId="Podnoje" w:type="paragraph">
    <w:name w:val="footer"/>
    <w:basedOn w:val="Normal"/>
    <w:link w:val="PodnojeChar"/>
    <w:uiPriority w:val="99"/>
    <w:unhideWhenUsed/>
    <w:rsid w:val="00ED0F94"/>
    <w:pPr>
      <w:tabs>
        <w:tab w:pos="4536" w:val="center"/>
        <w:tab w:pos="9072" w:val="right"/>
      </w:tabs>
    </w:pPr>
  </w:style>
  <w:style w:customStyle="1" w:styleId="PodnojeChar" w:type="character">
    <w:name w:val="Podnožje Char"/>
    <w:link w:val="Podnoje"/>
    <w:uiPriority w:val="99"/>
    <w:rsid w:val="00ED0F94"/>
    <w:rPr>
      <w:sz w:val="22"/>
      <w:szCs w:val="22"/>
      <w:lang w:eastAsia="en-US"/>
    </w:rPr>
  </w:style>
  <w:style w:styleId="StandardWeb" w:type="paragraph">
    <w:name w:val="Normal (Web)"/>
    <w:basedOn w:val="Normal"/>
    <w:rsid w:val="0039558B"/>
    <w:pPr>
      <w:spacing w:after="100" w:afterAutospacing="1" w:before="100" w:beforeAutospacing="1" w:line="240" w:lineRule="auto"/>
    </w:pPr>
    <w:rPr>
      <w:rFonts w:ascii="Times New Roman" w:eastAsia="SimSun" w:hAnsi="Times New Roman"/>
      <w:sz w:val="24"/>
      <w:szCs w:val="24"/>
      <w:lang w:eastAsia="zh-CN" w:val="en-US"/>
    </w:rPr>
  </w:style>
  <w:style w:styleId="Tijeloteksta" w:type="paragraph">
    <w:name w:val="Body Text"/>
    <w:basedOn w:val="Normal"/>
    <w:link w:val="TijelotekstaChar"/>
    <w:rsid w:val="0039558B"/>
    <w:pPr>
      <w:spacing w:after="120" w:line="240" w:lineRule="auto"/>
    </w:pPr>
    <w:rPr>
      <w:rFonts w:ascii="Times New Roman" w:eastAsia="Times New Roman" w:hAnsi="Times New Roman"/>
      <w:sz w:val="24"/>
      <w:szCs w:val="24"/>
      <w:lang w:eastAsia="hr-HR"/>
    </w:rPr>
  </w:style>
  <w:style w:customStyle="1" w:styleId="TijelotekstaChar" w:type="character">
    <w:name w:val="Tijelo teksta Char"/>
    <w:link w:val="Tijeloteksta"/>
    <w:rsid w:val="0039558B"/>
    <w:rPr>
      <w:rFonts w:ascii="Times New Roman" w:eastAsia="Times New Roman" w:hAnsi="Times New Roman"/>
      <w:sz w:val="24"/>
      <w:szCs w:val="24"/>
    </w:rPr>
  </w:style>
  <w:style w:styleId="Naglaeno" w:type="character">
    <w:name w:val="Strong"/>
    <w:qFormat/>
    <w:rsid w:val="0039558B"/>
    <w:rPr>
      <w:b/>
      <w:bCs/>
    </w:rPr>
  </w:style>
  <w:style w:styleId="Istaknuto" w:type="character">
    <w:name w:val="Emphasis"/>
    <w:qFormat/>
    <w:rsid w:val="0039558B"/>
    <w:rPr>
      <w:i/>
      <w:iCs/>
    </w:rPr>
  </w:style>
  <w:style w:styleId="Hiperveza" w:type="character">
    <w:name w:val="Hyperlink"/>
    <w:rsid w:val="007833E9"/>
    <w:rPr>
      <w:color w:val="0000FF"/>
      <w:u w:val="single"/>
    </w:rPr>
  </w:style>
  <w:style w:customStyle="1" w:styleId="apple-converted-space" w:type="character">
    <w:name w:val="apple-converted-space"/>
    <w:rsid w:val="007833E9"/>
  </w:style>
  <w:style w:styleId="Tekstbalonia" w:type="paragraph">
    <w:name w:val="Balloon Text"/>
    <w:basedOn w:val="Normal"/>
    <w:link w:val="TekstbaloniaChar"/>
    <w:uiPriority w:val="99"/>
    <w:unhideWhenUsed/>
    <w:rsid w:val="000F43C9"/>
    <w:pPr>
      <w:spacing w:after="0" w:line="240" w:lineRule="auto"/>
    </w:pPr>
    <w:rPr>
      <w:rFonts w:ascii="Tahoma" w:cs="Tahoma" w:hAnsi="Tahoma"/>
      <w:sz w:val="16"/>
      <w:szCs w:val="16"/>
    </w:rPr>
  </w:style>
  <w:style w:customStyle="1" w:styleId="TekstbaloniaChar" w:type="character">
    <w:name w:val="Tekst balončića Char"/>
    <w:link w:val="Tekstbalonia"/>
    <w:uiPriority w:val="99"/>
    <w:rsid w:val="000F43C9"/>
    <w:rPr>
      <w:rFonts w:ascii="Tahoma" w:cs="Tahoma" w:hAnsi="Tahoma"/>
      <w:sz w:val="16"/>
      <w:szCs w:val="16"/>
      <w:lang w:eastAsia="en-US"/>
    </w:rPr>
  </w:style>
  <w:style w:customStyle="1" w:styleId="Bezproreda1" w:type="paragraph">
    <w:name w:val="Bez proreda1"/>
    <w:uiPriority w:val="1"/>
    <w:qFormat/>
    <w:rsid w:val="0041605D"/>
    <w:pPr>
      <w:overflowPunct w:val="0"/>
      <w:autoSpaceDE w:val="0"/>
      <w:autoSpaceDN w:val="0"/>
      <w:adjustRightInd w:val="0"/>
      <w:textAlignment w:val="baseline"/>
    </w:pPr>
    <w:rPr>
      <w:rFonts w:ascii="Times New Roman" w:eastAsia="Times New Roman" w:hAnsi="Times New Roman"/>
      <w:lang w:val="en-US"/>
    </w:rPr>
  </w:style>
  <w:style w:styleId="Brojstranice" w:type="character">
    <w:name w:val="page number"/>
    <w:basedOn w:val="Zadanifontodlomka"/>
    <w:rsid w:val="008F78B3"/>
  </w:style>
  <w:style w:styleId="Tijeloteksta2" w:type="paragraph">
    <w:name w:val="Body Text 2"/>
    <w:basedOn w:val="Normal"/>
    <w:link w:val="Tijeloteksta2Char"/>
    <w:rsid w:val="008F78B3"/>
    <w:pPr>
      <w:spacing w:after="0" w:line="240" w:lineRule="auto"/>
      <w:jc w:val="both"/>
    </w:pPr>
    <w:rPr>
      <w:rFonts w:ascii="Tahoma" w:cs="Tahoma" w:eastAsia="Times New Roman" w:hAnsi="Tahoma"/>
      <w:noProof/>
      <w:sz w:val="24"/>
      <w:szCs w:val="20"/>
      <w:lang w:eastAsia="hr-HR"/>
    </w:rPr>
  </w:style>
  <w:style w:customStyle="1" w:styleId="Tijeloteksta2Char" w:type="character">
    <w:name w:val="Tijelo teksta 2 Char"/>
    <w:basedOn w:val="Zadanifontodlomka"/>
    <w:link w:val="Tijeloteksta2"/>
    <w:rsid w:val="008F78B3"/>
    <w:rPr>
      <w:rFonts w:ascii="Tahoma" w:cs="Tahoma" w:eastAsia="Times New Roman" w:hAnsi="Tahoma"/>
      <w:noProof/>
      <w:sz w:val="24"/>
    </w:rPr>
  </w:style>
  <w:style w:styleId="Naslov" w:type="paragraph">
    <w:name w:val="Title"/>
    <w:basedOn w:val="Normal"/>
    <w:next w:val="Normal"/>
    <w:link w:val="NaslovChar"/>
    <w:uiPriority w:val="10"/>
    <w:qFormat/>
    <w:rsid w:val="008F78B3"/>
    <w:pPr>
      <w:spacing w:after="0" w:line="240" w:lineRule="auto"/>
      <w:contextualSpacing/>
    </w:pPr>
    <w:rPr>
      <w:rFonts w:ascii="Calibri Light" w:eastAsia="Times New Roman" w:hAnsi="Calibri Light"/>
      <w:spacing w:val="-10"/>
      <w:kern w:val="28"/>
      <w:sz w:val="56"/>
      <w:szCs w:val="56"/>
    </w:rPr>
  </w:style>
  <w:style w:customStyle="1" w:styleId="NaslovChar" w:type="character">
    <w:name w:val="Naslov Char"/>
    <w:basedOn w:val="Zadanifontodlomka"/>
    <w:link w:val="Naslov"/>
    <w:uiPriority w:val="10"/>
    <w:rsid w:val="008F78B3"/>
    <w:rPr>
      <w:rFonts w:ascii="Calibri Light" w:eastAsia="Times New Roman" w:hAnsi="Calibri Light"/>
      <w:spacing w:val="-10"/>
      <w:kern w:val="28"/>
      <w:sz w:val="56"/>
      <w:szCs w:val="56"/>
      <w:lang w:eastAsia="en-US"/>
    </w:rPr>
  </w:style>
  <w:style w:styleId="SlijeenaHiperveza" w:type="character">
    <w:name w:val="FollowedHyperlink"/>
    <w:basedOn w:val="Zadanifontodlomka"/>
    <w:uiPriority w:val="99"/>
    <w:unhideWhenUsed/>
    <w:rsid w:val="007B6948"/>
    <w:rPr>
      <w:color w:val="800080"/>
      <w:u w:val="single"/>
    </w:rPr>
  </w:style>
  <w:style w:customStyle="1" w:styleId="xl63" w:type="paragraph">
    <w:name w:val="xl63"/>
    <w:basedOn w:val="Normal"/>
    <w:rsid w:val="007B6948"/>
    <w:pPr>
      <w:spacing w:after="100" w:afterAutospacing="1" w:before="100" w:beforeAutospacing="1" w:line="240" w:lineRule="auto"/>
    </w:pPr>
    <w:rPr>
      <w:rFonts w:ascii="Times New Roman" w:eastAsia="Times New Roman" w:hAnsi="Times New Roman"/>
      <w:sz w:val="16"/>
      <w:szCs w:val="16"/>
      <w:lang w:eastAsia="hr-HR"/>
    </w:rPr>
  </w:style>
  <w:style w:customStyle="1" w:styleId="xl64" w:type="paragraph">
    <w:name w:val="xl6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5" w:type="paragraph">
    <w:name w:val="xl65"/>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66" w:type="paragraph">
    <w:name w:val="xl66"/>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7" w:type="paragraph">
    <w:name w:val="xl67"/>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8" w:type="paragraph">
    <w:name w:val="xl68"/>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69" w:type="paragraph">
    <w:name w:val="xl6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sz w:val="16"/>
      <w:szCs w:val="16"/>
      <w:lang w:eastAsia="hr-HR"/>
    </w:rPr>
  </w:style>
  <w:style w:customStyle="1" w:styleId="xl70" w:type="paragraph">
    <w:name w:val="xl7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1" w:type="paragraph">
    <w:name w:val="xl71"/>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2" w:type="paragraph">
    <w:name w:val="xl72"/>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sz w:val="16"/>
      <w:szCs w:val="16"/>
      <w:lang w:eastAsia="hr-HR"/>
    </w:rPr>
  </w:style>
  <w:style w:customStyle="1" w:styleId="xl73" w:type="paragraph">
    <w:name w:val="xl73"/>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sz w:val="16"/>
      <w:szCs w:val="16"/>
      <w:lang w:eastAsia="hr-HR"/>
    </w:rPr>
  </w:style>
  <w:style w:customStyle="1" w:styleId="xl74" w:type="paragraph">
    <w:name w:val="xl74"/>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5" w:type="paragraph">
    <w:name w:val="xl75"/>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jc w:val="right"/>
    </w:pPr>
    <w:rPr>
      <w:rFonts w:ascii="Times New Roman" w:eastAsia="Times New Roman" w:hAnsi="Times New Roman"/>
      <w:b/>
      <w:bCs/>
      <w:sz w:val="16"/>
      <w:szCs w:val="16"/>
      <w:lang w:eastAsia="hr-HR"/>
    </w:rPr>
  </w:style>
  <w:style w:customStyle="1" w:styleId="xl76" w:type="paragraph">
    <w:name w:val="xl76"/>
    <w:basedOn w:val="Normal"/>
    <w:rsid w:val="007B6948"/>
    <w:pPr>
      <w:pBdr>
        <w:top w:color="auto" w:space="0" w:sz="4" w:val="single"/>
        <w:left w:color="auto" w:space="0" w:sz="4" w:val="single"/>
        <w:bottom w:color="auto" w:space="0" w:sz="4" w:val="single"/>
        <w:right w:color="auto" w:space="0" w:sz="4" w:val="single"/>
      </w:pBdr>
      <w:shd w:color="auto" w:fill="C5D9F1" w:val="clear"/>
      <w:spacing w:after="100" w:afterAutospacing="1" w:before="100" w:beforeAutospacing="1" w:line="240" w:lineRule="auto"/>
    </w:pPr>
    <w:rPr>
      <w:rFonts w:ascii="Times New Roman" w:eastAsia="Times New Roman" w:hAnsi="Times New Roman"/>
      <w:b/>
      <w:bCs/>
      <w:sz w:val="16"/>
      <w:szCs w:val="16"/>
      <w:lang w:eastAsia="hr-HR"/>
    </w:rPr>
  </w:style>
  <w:style w:customStyle="1" w:styleId="xl77" w:type="paragraph">
    <w:name w:val="xl77"/>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pPr>
    <w:rPr>
      <w:rFonts w:ascii="Times New Roman" w:eastAsia="Times New Roman" w:hAnsi="Times New Roman"/>
      <w:b/>
      <w:bCs/>
      <w:sz w:val="16"/>
      <w:szCs w:val="16"/>
      <w:lang w:eastAsia="hr-HR"/>
    </w:rPr>
  </w:style>
  <w:style w:customStyle="1" w:styleId="xl78" w:type="paragraph">
    <w:name w:val="xl78"/>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xl79" w:type="paragraph">
    <w:name w:val="xl79"/>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sz w:val="16"/>
      <w:szCs w:val="16"/>
      <w:lang w:eastAsia="hr-HR"/>
    </w:rPr>
  </w:style>
  <w:style w:customStyle="1" w:styleId="xl80" w:type="paragraph">
    <w:name w:val="xl80"/>
    <w:basedOn w:val="Normal"/>
    <w:rsid w:val="007B6948"/>
    <w:pPr>
      <w:pBdr>
        <w:top w:color="auto" w:space="0" w:sz="4" w:val="single"/>
        <w:left w:color="auto" w:space="0" w:sz="4" w:val="single"/>
        <w:bottom w:color="auto" w:space="0" w:sz="4" w:val="single"/>
        <w:right w:color="auto" w:space="0" w:sz="4" w:val="single"/>
      </w:pBdr>
      <w:spacing w:after="100" w:afterAutospacing="1" w:before="100" w:beforeAutospacing="1" w:line="240" w:lineRule="auto"/>
      <w:jc w:val="center"/>
    </w:pPr>
    <w:rPr>
      <w:rFonts w:ascii="Times New Roman" w:eastAsia="Times New Roman" w:hAnsi="Times New Roman"/>
      <w:b/>
      <w:bCs/>
      <w:sz w:val="16"/>
      <w:szCs w:val="16"/>
      <w:lang w:eastAsia="hr-HR"/>
    </w:rPr>
  </w:style>
  <w:style w:customStyle="1" w:styleId="Naslov2Char" w:type="character">
    <w:name w:val="Naslov 2 Char"/>
    <w:basedOn w:val="Zadanifontodlomka"/>
    <w:link w:val="Naslov2"/>
    <w:uiPriority w:val="9"/>
    <w:semiHidden/>
    <w:rsid w:val="00C06036"/>
    <w:rPr>
      <w:rFonts w:asciiTheme="majorHAnsi" w:cstheme="majorBidi" w:eastAsiaTheme="majorEastAsia" w:hAnsiTheme="majorHAnsi"/>
      <w:b/>
      <w:bCs/>
      <w:color w:themeColor="accent1" w:val="4F81BD"/>
      <w:sz w:val="26"/>
      <w:szCs w:val="26"/>
      <w:lang w:eastAsia="en-US"/>
    </w:rPr>
  </w:style>
  <w:style w:styleId="Uvuenotijeloteksta" w:type="paragraph">
    <w:name w:val="Body Text Indent"/>
    <w:basedOn w:val="Normal"/>
    <w:link w:val="UvuenotijelotekstaChar"/>
    <w:uiPriority w:val="99"/>
    <w:semiHidden/>
    <w:unhideWhenUsed/>
    <w:rsid w:val="00C06036"/>
    <w:pPr>
      <w:spacing w:after="120"/>
      <w:ind w:left="283"/>
    </w:pPr>
  </w:style>
  <w:style w:customStyle="1" w:styleId="UvuenotijelotekstaChar" w:type="character">
    <w:name w:val="Uvučeno tijelo teksta Char"/>
    <w:basedOn w:val="Zadanifontodlomka"/>
    <w:link w:val="Uvuenotijeloteksta"/>
    <w:uiPriority w:val="99"/>
    <w:semiHidden/>
    <w:rsid w:val="00C06036"/>
    <w:rPr>
      <w:sz w:val="22"/>
      <w:szCs w:val="22"/>
      <w:lang w:eastAsia="en-US"/>
    </w:rPr>
  </w:style>
  <w:style w:customStyle="1" w:styleId="Naslov3Char" w:type="character">
    <w:name w:val="Naslov 3 Char"/>
    <w:basedOn w:val="Zadanifontodlomka"/>
    <w:link w:val="Naslov3"/>
    <w:uiPriority w:val="9"/>
    <w:semiHidden/>
    <w:rsid w:val="00C06036"/>
    <w:rPr>
      <w:rFonts w:asciiTheme="majorHAnsi" w:cstheme="majorBidi" w:eastAsiaTheme="majorEastAsia" w:hAnsiTheme="majorHAnsi"/>
      <w:b/>
      <w:bCs/>
      <w:color w:themeColor="accent1" w:val="4F81BD"/>
      <w:sz w:val="22"/>
      <w:szCs w:val="22"/>
      <w:lang w:eastAsia="en-US"/>
    </w:rPr>
  </w:style>
  <w:style w:styleId="Reetkatablice" w:type="table">
    <w:name w:val="Table Grid"/>
    <w:basedOn w:val="Obinatablica"/>
    <w:uiPriority w:val="59"/>
    <w:rsid w:val="00834DB3"/>
    <w:rPr>
      <w:rFonts w:eastAsia="Times New Roman"/>
      <w:sz w:val="22"/>
      <w:szCs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E3103"/>
    <w:rPr>
      <w:color w:val="808080"/>
      <w:bdr w:color="auto" w:space="0" w:sz="0" w:val="none"/>
      <w:shd w:color="auto" w:fill="CCFFFF" w:val="clear"/>
    </w:rPr>
  </w:style>
  <w:style w:customStyle="1" w:styleId="eSPISCCParagraphDefaultFont" w:type="character">
    <w:name w:val="eSPIS_CC_Paragraph Default Font"/>
    <w:basedOn w:val="Zadanifontodlomka"/>
    <w:rsid w:val="00AE310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310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310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310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249315">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798303212">
      <w:bodyDiv w:val="true"/>
      <w:marLeft w:val="0"/>
      <w:marRight w:val="0"/>
      <w:marTop w:val="0"/>
      <w:marBottom w:val="0"/>
      <w:divBdr>
        <w:top w:space="0" w:sz="0" w:color="auto" w:val="none"/>
        <w:left w:space="0" w:sz="0" w:color="auto" w:val="none"/>
        <w:bottom w:space="0" w:sz="0" w:color="auto" w:val="none"/>
        <w:right w:space="0" w:sz="0" w:color="auto" w:val="none"/>
      </w:divBdr>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1962689917">
      <w:bodyDiv w:val="true"/>
      <w:marLeft w:val="0"/>
      <w:marRight w:val="0"/>
      <w:marTop w:val="0"/>
      <w:marBottom w:val="0"/>
      <w:divBdr>
        <w:top w:space="0" w:sz="0" w:color="auto" w:val="none"/>
        <w:left w:space="0" w:sz="0" w:color="auto" w:val="none"/>
        <w:bottom w:space="0" w:sz="0" w:color="auto" w:val="none"/>
        <w:right w:space="0" w:sz="0" w:color="auto" w:val="none"/>
      </w:divBdr>
    </w:div>
    <w:div w:id="20246976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368</izvorni_sadrzaj>
    <derivirana_varijabla naziv="DomainObject.Predmet.Broj_1">368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2014.</izvorni_sadrzaj>
    <derivirana_varijabla naziv="DomainObject.Predmet.DatumOsnivanja_1">26.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St-368/2014</izvorni_sadrzaj>
    <derivirana_varijabla naziv="DomainObject.Predmet.OznakaBroj_1">St-368/2014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 d.o.o. za graditeljstvo i trgovinu</izvorni_sadrzaj>
    <derivirana_varijabla naziv="DomainObject.Predmet.ProtustrankaFormated_1">  H.I. d.o.o. za graditeljstvo i trgovinu</derivirana_varijabla>
  </DomainObject.Predmet.ProtustrankaFormated>
  <DomainObject.Predmet.ProtustrankaFormatedOIB>
    <izvorni_sadrzaj>  H.I. d.o.o. za graditeljstvo i trgovinu, OIB 29528304474</izvorni_sadrzaj>
    <derivirana_varijabla naziv="DomainObject.Predmet.ProtustrankaFormatedOIB_1">  H.I. d.o.o. za graditeljstvo i trgovinu, OIB 29528304474</derivirana_varijabla>
  </DomainObject.Predmet.ProtustrankaFormatedOIB>
  <DomainObject.Predmet.ProtustrankaFormatedWithAdress>
    <izvorni_sadrzaj> H.I. d.o.o. za graditeljstvo i trgovinu, Kardinala A.Stepinca 15, 31000 Osijek</izvorni_sadrzaj>
    <derivirana_varijabla naziv="DomainObject.Predmet.ProtustrankaFormatedWithAdress_1"> H.I. d.o.o. za graditeljstvo i trgovinu, Kardinala A.Stepinca 15, 31000 Osijek</derivirana_varijabla>
  </DomainObject.Predmet.ProtustrankaFormatedWithAdress>
  <DomainObject.Predmet.ProtustrankaFormatedWithAdressOIB>
    <izvorni_sadrzaj> H.I. d.o.o. za graditeljstvo i trgovinu, OIB 29528304474, Kardinala A.Stepinca 15, 31000 Osijek</izvorni_sadrzaj>
    <derivirana_varijabla naziv="DomainObject.Predmet.ProtustrankaFormatedWithAdressOIB_1"> H.I. d.o.o. za graditeljstvo i trgovinu, OIB 29528304474, Kardinala A.Stepinca 15, 31000 Osijek</derivirana_varijabla>
  </DomainObject.Predmet.ProtustrankaFormatedWithAdressOIB>
  <DomainObject.Predmet.ProtustrankaWithAdress>
    <izvorni_sadrzaj>H.I. d.o.o. za graditeljstvo i trgovinu Kardinala A.Stepinca 15, 31000 Osijek</izvorni_sadrzaj>
    <derivirana_varijabla naziv="DomainObject.Predmet.ProtustrankaWithAdress_1">H.I. d.o.o. za graditeljstvo i trgovinu Kardinala A.Stepinca 15, 31000 Osijek</derivirana_varijabla>
  </DomainObject.Predmet.ProtustrankaWithAdress>
  <DomainObject.Predmet.ProtustrankaWithAdressOIB>
    <izvorni_sadrzaj>H.I. d.o.o. za graditeljstvo i trgovinu, OIB 29528304474, Kardinala A.Stepinca 15, 31000 Osijek</izvorni_sadrzaj>
    <derivirana_varijabla naziv="DomainObject.Predmet.ProtustrankaWithAdressOIB_1">H.I. d.o.o. za graditeljstvo i trgovinu, OIB 29528304474, Kardinala A.Stepinca 15, 31000 Osijek</derivirana_varijabla>
  </DomainObject.Predmet.ProtustrankaWithAdressOIB>
  <DomainObject.Predmet.ProtustrankaNazivFormated>
    <izvorni_sadrzaj>H.I. d.o.o. za graditeljstvo i trgovinu</izvorni_sadrzaj>
    <derivirana_varijabla naziv="DomainObject.Predmet.ProtustrankaNazivFormated_1">H.I. d.o.o. za graditeljstvo i trgovinu</derivirana_varijabla>
  </DomainObject.Predmet.ProtustrankaNazivFormated>
  <DomainObject.Predmet.ProtustrankaNazivFormatedOIB>
    <izvorni_sadrzaj>H.I. d.o.o. za graditeljstvo i trgovinu, OIB 29528304474</izvorni_sadrzaj>
    <derivirana_varijabla naziv="DomainObject.Predmet.ProtustrankaNazivFormatedOIB_1">H.I. d.o.o. za graditeljstvo i trgovinu, OIB 29528304474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izvorni_sadrzaj>
    <derivirana_varijabla naziv="DomainObject.Predmet.StrankaFormatedWithAdress_1"> FINA Regionalni centar Osijek</derivirana_varijabla>
  </DomainObject.Predmet.StrankaFormatedWithAdress>
  <DomainObject.Predmet.StrankaFormatedWithAdressOIB>
    <izvorni_sadrzaj> FINA Regionalni centar Osijek</izvorni_sadrzaj>
    <derivirana_varijabla naziv="DomainObject.Predmet.StrankaFormatedWithAdressOIB_1"> FINA Regionalni centar Osijek</derivirana_varijabla>
  </DomainObject.Predmet.StrankaFormatedWithAdressOIB>
  <DomainObject.Predmet.StrankaWithAdress>
    <izvorni_sadrzaj>FINA Regionalni centar Osijek </izvorni_sadrzaj>
    <derivirana_varijabla naziv="DomainObject.Predmet.StrankaWithAdress_1">FINA Regionalni centar Osijek </derivirana_varijabla>
  </DomainObject.Predmet.StrankaWithAdress>
  <DomainObject.Predmet.StrankaWithAdressOIB>
    <izvorni_sadrzaj>FINA Regionalni centar Osijek</izvorni_sadrzaj>
    <derivirana_varijabla naziv="DomainObject.Predmet.StrankaWithAdressOIB_1">FINA Regionalni centar Osijek</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item>
    </izvorni_sadrzaj>
    <derivirana_varijabla naziv="DomainObject.Predmet.StrankaListFormatedWithAdress_1">
      <item>FINA Regionalni centar Osijek</item>
    </derivirana_varijabla>
  </DomainObject.Predmet.StrankaListFormatedWithAdress>
  <DomainObject.Predmet.StrankaListFormatedWithAdressOIB>
    <izvorni_sadrzaj>
      <item>FINA Regionalni centar Osijek</item>
    </izvorni_sadrzaj>
    <derivirana_varijabla naziv="DomainObject.Predmet.StrankaListFormatedWithAdressOIB_1">
      <item>FINA Regionalni centar Osijek</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H.I. d.o.o. za graditeljstvo i trgovinu</item>
    </izvorni_sadrzaj>
    <derivirana_varijabla naziv="DomainObject.Predmet.ProtuStrankaListFormated_1">
      <item>H.I. d.o.o. za graditeljstvo i trgovinu</item>
    </derivirana_varijabla>
  </DomainObject.Predmet.ProtuStrankaListFormated>
  <DomainObject.Predmet.ProtuStrankaListFormatedOIB>
    <izvorni_sadrzaj>
      <item>H.I. d.o.o. za graditeljstvo i trgovinu, OIB 29528304474</item>
    </izvorni_sadrzaj>
    <derivirana_varijabla naziv="DomainObject.Predmet.ProtuStrankaListFormatedOIB_1">
      <item>H.I. d.o.o. za graditeljstvo i trgovinu, OIB 29528304474</item>
    </derivirana_varijabla>
  </DomainObject.Predmet.ProtuStrankaListFormatedOIB>
  <DomainObject.Predmet.ProtuStrankaListFormatedWithAdress>
    <izvorni_sadrzaj>
      <item>H.I. d.o.o. za graditeljstvo i trgovinu, Kardinala A.Stepinca 15, 31000 Osijek</item>
    </izvorni_sadrzaj>
    <derivirana_varijabla naziv="DomainObject.Predmet.ProtuStrankaListFormatedWithAdress_1">
      <item>H.I. d.o.o. za graditeljstvo i trgovinu, Kardinala A.Stepinca 15, 31000 Osijek</item>
    </derivirana_varijabla>
  </DomainObject.Predmet.ProtuStrankaListFormatedWithAdress>
  <DomainObject.Predmet.ProtuStrankaListFormatedWithAdressOIB>
    <izvorni_sadrzaj>
      <item>H.I. d.o.o. za graditeljstvo i trgovinu, OIB 29528304474, Kardinala A.Stepinca 15, 31000 Osijek</item>
    </izvorni_sadrzaj>
    <derivirana_varijabla naziv="DomainObject.Predmet.ProtuStrankaListFormatedWithAdressOIB_1">
      <item>H.I. d.o.o. za graditeljstvo i trgovinu, OIB 29528304474, Kardinala A.Stepinca 15, 31000 Osijek</item>
    </derivirana_varijabla>
  </DomainObject.Predmet.ProtuStrankaListFormatedWithAdressOIB>
  <DomainObject.Predmet.ProtuStrankaListNazivFormated>
    <izvorni_sadrzaj>
      <item>H.I. d.o.o. za graditeljstvo i trgovinu</item>
    </izvorni_sadrzaj>
    <derivirana_varijabla naziv="DomainObject.Predmet.ProtuStrankaListNazivFormated_1">
      <item>H.I. d.o.o. za graditeljstvo i trgovinu</item>
    </derivirana_varijabla>
  </DomainObject.Predmet.ProtuStrankaListNazivFormated>
  <DomainObject.Predmet.ProtuStrankaListNazivFormatedOIB>
    <izvorni_sadrzaj>
      <item>H.I. d.o.o. za graditeljstvo i trgovinu, OIB 29528304474</item>
    </izvorni_sadrzaj>
    <derivirana_varijabla naziv="DomainObject.Predmet.ProtuStrankaListNazivFormatedOIB_1">
      <item>H.I. d.o.o. za graditeljstvo i trgovinu, OIB 29528304474</item>
    </derivirana_varijabla>
  </DomainObject.Predmet.ProtuStrankaListNazivFormatedOIB>
  <DomainObject.Predmet.OstaliListFormated>
    <izvorni_sadrzaj>
      <item>Oglasna ploča - H.I. d.o.o. Osijek</item>
      <item>Porezna uprava Osijek</item>
      <item>Županijsko državno odvjetništvo Osijek</item>
      <item>Živka Posavac</item>
    </izvorni_sadrzaj>
    <derivirana_varijabla naziv="DomainObject.Predmet.OstaliListFormated_1">
      <item>Oglasna ploča - H.I. d.o.o. Osijek</item>
      <item>Porezna uprava Osijek</item>
      <item>Županijsko državno odvjetništvo Osijek</item>
      <item>Živka Posavac</item>
    </derivirana_varijabla>
  </DomainObject.Predmet.OstaliListFormated>
  <DomainObject.Predmet.OstaliListFormatedOIB>
    <izvorni_sadrzaj>
      <item>Oglasna ploča - H.I. d.o.o. Osijek</item>
      <item>Porezna uprava Osijek</item>
      <item>Županijsko državno odvjetništvo Osijek</item>
      <item>Živka Posavac, OIB 99335812289</item>
    </izvorni_sadrzaj>
    <derivirana_varijabla naziv="DomainObject.Predmet.OstaliListFormatedOIB_1">
      <item>Oglasna ploča - H.I. d.o.o. Osijek</item>
      <item>Porezna uprava Osijek</item>
      <item>Županijsko državno odvjetništvo Osijek</item>
      <item>Živka Posavac, OIB 99335812289</item>
    </derivirana_varijabla>
  </DomainObject.Predmet.OstaliListFormatedOIB>
  <DomainObject.Predmet.OstaliListFormatedWithAdress>
    <izvorni_sadrzaj>
      <item>Oglasna ploča - H.I. d.o.o. Osijek</item>
      <item>Porezna uprava Osijek, bb, 31000 Osijek</item>
      <item>Županijsko državno odvjetništvo Osijek, bb, 31000 Osijek</item>
      <item>Živka Posavac, Risnjačka 10, 31431 Čepin</item>
    </izvorni_sadrzaj>
    <derivirana_varijabla naziv="DomainObject.Predmet.OstaliListFormatedWithAdress_1">
      <item>Oglasna ploča - H.I. d.o.o. Osijek</item>
      <item>Porezna uprava Osijek, bb, 31000 Osijek</item>
      <item>Županijsko državno odvjetništvo Osijek, bb, 31000 Osijek</item>
      <item>Živka Posavac, Risnjačka 10, 31431 Čepin</item>
    </derivirana_varijabla>
  </DomainObject.Predmet.OstaliListFormatedWithAdress>
  <DomainObject.Predmet.OstaliListFormatedWithAdressOIB>
    <izvorni_sadrzaj>
      <item>Oglasna ploča - H.I. d.o.o. Osijek</item>
      <item>Porezna uprava Osijek, bb, 31000 Osijek</item>
      <item>Županijsko državno odvjetništvo Osijek, bb, 31000 Osijek</item>
      <item>Živka Posavac, OIB 99335812289, Risnjačka 10, 31431 Čepin</item>
    </izvorni_sadrzaj>
    <derivirana_varijabla naziv="DomainObject.Predmet.OstaliListFormatedWithAdressOIB_1">
      <item>Oglasna ploča - H.I. d.o.o. Osijek</item>
      <item>Porezna uprava Osijek, bb, 31000 Osijek</item>
      <item>Županijsko državno odvjetništvo Osijek, bb, 31000 Osijek</item>
      <item>Živka Posavac, OIB 99335812289, Risnjačka 10, 31431 Čepin</item>
    </derivirana_varijabla>
  </DomainObject.Predmet.OstaliListFormatedWithAdressOIB>
  <DomainObject.Predmet.OstaliListNazivFormated>
    <izvorni_sadrzaj>
      <item>Oglasna ploča - H.I. d.o.o. Osijek</item>
      <item>Porezna uprava Osijek</item>
      <item>Županijsko državno odvjetništvo Osijek</item>
      <item>Živka Posavac</item>
    </izvorni_sadrzaj>
    <derivirana_varijabla naziv="DomainObject.Predmet.OstaliListNazivFormated_1">
      <item>Oglasna ploča - H.I. d.o.o. Osijek</item>
      <item>Porezna uprava Osijek</item>
      <item>Županijsko državno odvjetništvo Osijek</item>
      <item>Živka Posavac</item>
    </derivirana_varijabla>
  </DomainObject.Predmet.OstaliListNazivFormated>
  <DomainObject.Predmet.OstaliListNazivFormatedOIB>
    <izvorni_sadrzaj>
      <item>Oglasna ploča - H.I. d.o.o. Osijek</item>
      <item>Porezna uprava Osijek</item>
      <item>Županijsko državno odvjetništvo Osijek</item>
      <item>Živka Posavac, OIB 99335812289</item>
    </izvorni_sadrzaj>
    <derivirana_varijabla naziv="DomainObject.Predmet.OstaliListNazivFormatedOIB_1">
      <item>Oglasna ploča - H.I. d.o.o. Osijek</item>
      <item>Porezna uprava Osijek</item>
      <item>Županijsko državno odvjetništvo Osijek</item>
      <item>Živka Posavac, OIB 99335812289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H.I. d.o.o. za graditeljstvo i trgovinu</izvorni_sadrzaj>
    <derivirana_varijabla naziv="DomainObject.Predmet.ProtustrankaIDrugi_1">H.I. d.o.o. za graditeljstvo i trgovinu</derivirana_varijabla>
  </DomainObject.Predmet.ProtustrankaIDrugi>
  <DomainObject.Predmet.StrankaIDrugiAdressOIB>
    <izvorni_sadrzaj>FINA Regionalni centar Osijek</izvorni_sadrzaj>
    <derivirana_varijabla naziv="DomainObject.Predmet.StrankaIDrugiAdressOIB_1">FINA Regionalni centar Osijek</derivirana_varijabla>
  </DomainObject.Predmet.StrankaIDrugiAdressOIB>
  <DomainObject.Predmet.ProtustrankaIDrugiAdressOIB>
    <izvorni_sadrzaj>H.I. d.o.o. za graditeljstvo i trgovinu, OIB 29528304474, Kardinala A.Stepinca 15, 31000 Osijek</izvorni_sadrzaj>
    <derivirana_varijabla naziv="DomainObject.Predmet.ProtustrankaIDrugiAdressOIB_1">H.I. d.o.o. za graditeljstvo i trgovinu, OIB 29528304474, Kardinala A.Stepinca 15,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H.I. d.o.o. za graditeljstvo i trgovinu</item>
      <item>Oglasna ploča - H.I. d.o.o. Osijek</item>
      <item>Porezna uprava Osijek</item>
      <item>Županijsko državno odvjetništvo Osijek</item>
      <item>Živka Posavac</item>
    </izvorni_sadrzaj>
    <derivirana_varijabla naziv="DomainObject.Predmet.SudioniciListNaziv_1">
      <item>FINA Regionalni centar Osijek</item>
      <item>H.I. d.o.o. za graditeljstvo i trgovinu</item>
      <item>Oglasna ploča - H.I. d.o.o. Osijek</item>
      <item>Porezna uprava Osijek</item>
      <item>Županijsko državno odvjetništvo Osijek</item>
      <item>Živka Posavac</item>
    </derivirana_varijabla>
  </DomainObject.Predmet.SudioniciListNaziv>
  <DomainObject.Predmet.SudioniciListAdressOIB>
    <izvorni_sadrzaj>
      <item>FINA Regionalni centar Osijek</item>
      <item>H.I. d.o.o. za graditeljstvo i trgovinu, OIB 29528304474, Kardinala A.Stepinca 15,31000 Osijek</item>
      <item>Oglasna ploča - H.I. d.o.o. Osijek</item>
      <item>Porezna uprava Osijek, bb,31000 Osijek</item>
      <item>Županijsko državno odvjetništvo Osijek, bb,31000 Osijek</item>
      <item>Živka Posavac, OIB 99335812289, Risnjačka 10,31431 Čepin</item>
    </izvorni_sadrzaj>
    <derivirana_varijabla naziv="DomainObject.Predmet.SudioniciListAdressOIB_1">
      <item>FINA Regionalni centar Osijek</item>
      <item>H.I. d.o.o. za graditeljstvo i trgovinu, OIB 29528304474, Kardinala A.Stepinca 15,31000 Osijek</item>
      <item>Oglasna ploča - H.I. d.o.o. Osijek</item>
      <item>Porezna uprava Osijek, bb,31000 Osijek</item>
      <item>Županijsko državno odvjetništvo Osijek, bb,31000 Osijek</item>
      <item>Živka Posavac, OIB 99335812289, Risnjačka 10,31431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29528304474</item>
      <item>, OIB null</item>
      <item>, OIB null</item>
      <item>, OIB null</item>
      <item>, OIB 99335812289</item>
    </izvorni_sadrzaj>
    <derivirana_varijabla naziv="DomainObject.Predmet.SudioniciListNazivOIB_1">
      <item>, OIB null</item>
      <item>, OIB 29528304474</item>
      <item>, OIB null</item>
      <item>, OIB null</item>
      <item>, OIB null</item>
      <item>, OIB 99335812289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Risnjačka 10 Čepin</item>
    </izvorni_sadrzaj>
    <derivirana_varijabla naziv="DomainObject.Predmet.StecajniUpraviteljiListAddressOIB_1">
      <item>Živka Posavac, OIB 99335812289, Risnjačka 10 Čepin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3B8077-BC37-4A3D-97F3-4AC15D8ADA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15</properties:Pages>
  <properties:Words>2865</properties:Words>
  <properties:Characters>16776</properties:Characters>
  <properties:Lines>1169</properties:Lines>
  <properties:Paragraphs>680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20759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2017-02-24T09:29:00Z</dcterms:created>
  <dc:creator>Blanka</dc:creator>
  <cp:lastModifiedBy>Danijela Sekulić</cp:lastModifiedBy>
  <cp:lastPrinted>2017-02-24T10:55:00Z</cp:lastPrinted>
  <dcterms:modified xmlns:xsi="http://www.w3.org/2001/XMLSchema-instance" xsi:type="dcterms:W3CDTF">2017-02-24T10:56:00Z</dcterms:modified>
  <cp:revision>4</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15</vt:i4>
  </prop:property>
</prop:Properties>
</file>