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6179" w14:paraId="7dc6179" w:rsidRDefault="000111F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11FA" w:rsidP="000111FA" w:rsidR="000111FA" w:rsidRPr="000111F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111FA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111FA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0111FA">
        <w:rPr>
          <w:rFonts w:cs="Times New Roman" w:eastAsia="Times New Roman"/>
          <w:lang w:eastAsia="hr-HR" w:val="en-AU"/>
        </w:rPr>
        <w:t xml:space="preserve">            </w:t>
      </w:r>
      <w:r w:rsidRPr="000111FA">
        <w:rPr>
          <w:rFonts w:cs="Times New Roman" w:eastAsia="Times New Roman"/>
          <w:lang w:eastAsia="hr-HR" w:val="en-AU"/>
        </w:rPr>
        <w:tab/>
      </w:r>
      <w:r w:rsidRPr="000111FA">
        <w:rPr>
          <w:rFonts w:cs="Times New Roman" w:eastAsia="Times New Roman"/>
          <w:lang w:eastAsia="hr-HR" w:val="en-AU"/>
        </w:rPr>
        <w:tab/>
      </w:r>
      <w:r w:rsidRPr="000111FA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111F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111FA">
        <w:rPr>
          <w:rFonts w:cs="Times New Roman" w:eastAsia="Times New Roman"/>
          <w:b/>
          <w:lang w:eastAsia="hr-HR" w:val="en-AU"/>
        </w:rPr>
        <w:t xml:space="preserve">: 14. </w:t>
      </w:r>
      <w:r w:rsidRPr="000111FA">
        <w:rPr>
          <w:rFonts w:cs="Times New Roman" w:eastAsia="Times New Roman"/>
          <w:b/>
          <w:lang w:eastAsia="hr-HR"/>
        </w:rPr>
        <w:t>St-1106/2015.</w:t>
      </w:r>
    </w:p>
    <w:p w:rsidRDefault="000111FA" w:rsidP="000111FA" w:rsidR="000111FA" w:rsidRPr="000111F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111FA">
        <w:rPr>
          <w:rFonts w:cs="Times New Roman" w:eastAsia="Times New Roman"/>
          <w:b/>
          <w:szCs w:val="20"/>
          <w:lang w:eastAsia="hr-HR"/>
        </w:rPr>
        <w:t xml:space="preserve">                 </w:t>
      </w:r>
      <w:proofErr w:type="spellStart"/>
      <w:r w:rsidRPr="000111F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111FA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0111FA" w:rsidP="000111FA" w:rsidR="000111FA" w:rsidRPr="000111F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111FA">
        <w:rPr>
          <w:rFonts w:cs="Times New Roman" w:eastAsia="Times New Roman"/>
          <w:b/>
          <w:szCs w:val="20"/>
          <w:lang w:eastAsia="hr-HR"/>
        </w:rPr>
        <w:t xml:space="preserve">               21 000  S P L I T</w:t>
      </w:r>
    </w:p>
    <w:p w:rsidRDefault="000111FA" w:rsidP="000111FA" w:rsidR="000111FA" w:rsidRPr="000111F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1FA" w:rsidP="000111FA" w:rsidR="000111FA" w:rsidRPr="000111F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111FA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0111FA" w:rsidP="000111FA" w:rsidR="000111FA" w:rsidRPr="000111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11FA" w:rsidP="000111FA" w:rsidR="000111FA" w:rsidRPr="000111F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11FA">
        <w:rPr>
          <w:rFonts w:cs="Times New Roman" w:eastAsia="Times New Roman"/>
          <w:b/>
          <w:lang w:eastAsia="hr-HR"/>
        </w:rPr>
        <w:t>Z A K L J U Č A K</w:t>
      </w:r>
    </w:p>
    <w:p w:rsidRDefault="000111FA" w:rsidP="000111FA" w:rsidR="000111FA" w:rsidRPr="000111F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 w:val="en-US"/>
        </w:rPr>
      </w:pPr>
      <w:r w:rsidRPr="000111FA">
        <w:rPr>
          <w:rFonts w:cs="Times New Roman" w:eastAsia="Times New Roman"/>
          <w:lang w:eastAsia="hr-HR" w:val="en-US"/>
        </w:rPr>
        <w:tab/>
      </w:r>
      <w:proofErr w:type="spellStart"/>
      <w:r w:rsidRPr="000111FA">
        <w:rPr>
          <w:rFonts w:cs="Times New Roman" w:eastAsia="Times New Roman"/>
          <w:lang w:eastAsia="hr-HR" w:val="en-US"/>
        </w:rPr>
        <w:t>Trgovački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sud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111FA">
        <w:rPr>
          <w:rFonts w:cs="Times New Roman" w:eastAsia="Times New Roman"/>
          <w:lang w:eastAsia="hr-HR" w:val="en-US"/>
        </w:rPr>
        <w:t>Splitu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11FA">
        <w:rPr>
          <w:rFonts w:cs="Times New Roman" w:eastAsia="Times New Roman"/>
          <w:lang w:eastAsia="hr-HR" w:val="en-US"/>
        </w:rPr>
        <w:t>po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sudcu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Jozi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Ćaleta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111FA">
        <w:rPr>
          <w:rFonts w:cs="Times New Roman" w:eastAsia="Times New Roman"/>
          <w:lang w:eastAsia="hr-HR" w:val="en-US"/>
        </w:rPr>
        <w:t>predstečajnom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postupku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nad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dužnikom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: CETINA, </w:t>
      </w:r>
      <w:proofErr w:type="spellStart"/>
      <w:r w:rsidRPr="000111FA">
        <w:rPr>
          <w:rFonts w:cs="Times New Roman" w:eastAsia="Times New Roman"/>
          <w:lang w:eastAsia="hr-HR" w:val="en-US"/>
        </w:rPr>
        <w:t>d.d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0111FA">
        <w:rPr>
          <w:rFonts w:cs="Times New Roman" w:eastAsia="Times New Roman"/>
          <w:lang w:eastAsia="hr-HR" w:val="en-US"/>
        </w:rPr>
        <w:t>Sinj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0111FA">
        <w:rPr>
          <w:rFonts w:cs="Times New Roman" w:eastAsia="Times New Roman"/>
          <w:lang w:eastAsia="hr-HR" w:val="en-US"/>
        </w:rPr>
        <w:t>Sinj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0111FA">
        <w:rPr>
          <w:rFonts w:cs="Times New Roman" w:eastAsia="Times New Roman"/>
          <w:lang w:eastAsia="hr-HR" w:val="en-US"/>
        </w:rPr>
        <w:t>Ulica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Miljenka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Buljana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0111FA">
        <w:rPr>
          <w:rFonts w:cs="Times New Roman" w:eastAsia="Times New Roman"/>
          <w:lang w:eastAsia="hr-HR" w:val="en-US"/>
        </w:rPr>
        <w:t>35.,</w:t>
      </w:r>
      <w:proofErr w:type="gramEnd"/>
      <w:r w:rsidRPr="000111FA">
        <w:rPr>
          <w:rFonts w:cs="Times New Roman" w:eastAsia="Times New Roman"/>
          <w:lang w:eastAsia="hr-HR" w:val="en-US"/>
        </w:rPr>
        <w:t xml:space="preserve"> OIB: 98900394029. (</w:t>
      </w:r>
      <w:proofErr w:type="spellStart"/>
      <w:r w:rsidRPr="000111FA">
        <w:rPr>
          <w:rFonts w:cs="Times New Roman" w:eastAsia="Times New Roman"/>
          <w:lang w:eastAsia="hr-HR" w:val="en-US"/>
        </w:rPr>
        <w:t>Dužnik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0111FA">
        <w:rPr>
          <w:rFonts w:cs="Times New Roman" w:eastAsia="Times New Roman"/>
          <w:lang w:eastAsia="hr-HR" w:val="en-US"/>
        </w:rPr>
        <w:t>odlučujući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0111FA">
        <w:rPr>
          <w:rFonts w:cs="Times New Roman" w:eastAsia="Times New Roman"/>
          <w:lang w:eastAsia="hr-HR" w:val="en-US"/>
        </w:rPr>
        <w:t>prijedlogu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Dužnika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za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produljenje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roka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trajanja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predstečajnog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11FA">
        <w:rPr>
          <w:rFonts w:cs="Times New Roman" w:eastAsia="Times New Roman"/>
          <w:lang w:eastAsia="hr-HR" w:val="en-US"/>
        </w:rPr>
        <w:t>postupka</w:t>
      </w:r>
      <w:proofErr w:type="spellEnd"/>
      <w:r w:rsidRPr="000111FA">
        <w:rPr>
          <w:rFonts w:cs="Times New Roman" w:eastAsia="Times New Roman"/>
          <w:lang w:eastAsia="hr-HR" w:val="en-US"/>
        </w:rPr>
        <w:t xml:space="preserve">, </w:t>
      </w:r>
      <w:proofErr w:type="spellStart"/>
      <w:proofErr w:type="gramStart"/>
      <w:r w:rsidRPr="000111FA">
        <w:rPr>
          <w:rFonts w:cs="Times New Roman" w:eastAsia="Times New Roman"/>
          <w:lang w:eastAsia="hr-HR" w:val="en-US"/>
        </w:rPr>
        <w:t>dana</w:t>
      </w:r>
      <w:proofErr w:type="spellEnd"/>
      <w:proofErr w:type="gramEnd"/>
      <w:r w:rsidRPr="000111FA">
        <w:rPr>
          <w:rFonts w:cs="Times New Roman" w:eastAsia="Times New Roman"/>
          <w:lang w:eastAsia="hr-HR" w:val="en-US"/>
        </w:rPr>
        <w:t xml:space="preserve"> 23. </w:t>
      </w:r>
      <w:proofErr w:type="spellStart"/>
      <w:proofErr w:type="gramStart"/>
      <w:r w:rsidRPr="000111FA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0111FA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0111FA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0111F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11FA">
        <w:rPr>
          <w:rFonts w:cs="Times New Roman" w:eastAsia="Times New Roman"/>
          <w:lang w:eastAsia="hr-HR" w:val="en-US"/>
        </w:rPr>
        <w:t>izvanraspravno</w:t>
      </w:r>
      <w:proofErr w:type="spellEnd"/>
      <w:r w:rsidRPr="000111FA">
        <w:rPr>
          <w:rFonts w:cs="Times New Roman" w:eastAsia="Times New Roman"/>
          <w:lang w:eastAsia="hr-HR" w:val="en-US"/>
        </w:rPr>
        <w:t>,</w:t>
      </w:r>
    </w:p>
    <w:p w:rsidRDefault="000111FA" w:rsidP="000111FA" w:rsidR="000111FA" w:rsidRPr="000111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11FA" w:rsidP="000111FA" w:rsidR="000111FA" w:rsidRPr="000111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111FA" w:rsidP="000111FA" w:rsidR="000111FA" w:rsidRPr="000111FA">
      <w:pPr>
        <w:spacing w:after="0"/>
        <w:jc w:val="center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>z a k l j u č i o    j e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b/>
          <w:lang w:eastAsia="hr-HR"/>
        </w:rPr>
        <w:t>1)</w:t>
      </w:r>
      <w:r w:rsidRPr="000111FA">
        <w:rPr>
          <w:rFonts w:cs="Times New Roman" w:eastAsia="Times New Roman"/>
          <w:lang w:eastAsia="hr-HR"/>
        </w:rPr>
        <w:t xml:space="preserve"> Temeljem članka 63., stavak 2., Stečajnog zakona (</w:t>
      </w:r>
      <w:r w:rsidRPr="000111FA">
        <w:rPr>
          <w:rFonts w:cs="Times New Roman" w:eastAsia="Times New Roman"/>
          <w:i/>
          <w:lang w:eastAsia="hr-HR"/>
        </w:rPr>
        <w:t>Narodne novine</w:t>
      </w:r>
      <w:r w:rsidRPr="000111FA">
        <w:rPr>
          <w:rFonts w:cs="Times New Roman" w:eastAsia="Times New Roman"/>
          <w:lang w:eastAsia="hr-HR"/>
        </w:rPr>
        <w:t xml:space="preserve">, br.: 71/15., dalje: SZ), usvaja se prijedlog dužnika: CETINA, d.d., Sinj (Grad Sinj), Ulica Miljenka Buljana 35., OIB: 98900394029. pa se produljuje rok trajanja ovoga </w:t>
      </w:r>
      <w:proofErr w:type="spellStart"/>
      <w:r w:rsidRPr="000111FA">
        <w:rPr>
          <w:rFonts w:cs="Times New Roman" w:eastAsia="Times New Roman"/>
          <w:lang w:eastAsia="hr-HR"/>
        </w:rPr>
        <w:t>predstečajnog</w:t>
      </w:r>
      <w:proofErr w:type="spellEnd"/>
      <w:r w:rsidRPr="000111FA">
        <w:rPr>
          <w:rFonts w:cs="Times New Roman" w:eastAsia="Times New Roman"/>
          <w:lang w:eastAsia="hr-HR"/>
        </w:rPr>
        <w:t xml:space="preserve"> postupka za daljnjih 90. dana. </w:t>
      </w:r>
    </w:p>
    <w:p w:rsidRDefault="000111FA" w:rsidP="000111FA" w:rsidR="000111FA" w:rsidRPr="000111FA">
      <w:pPr>
        <w:spacing w:after="0"/>
        <w:jc w:val="both"/>
        <w:rPr>
          <w:rFonts w:cs="Times New Roman" w:eastAsia="Calibri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Calibri"/>
        </w:rPr>
      </w:pPr>
      <w:r w:rsidRPr="000111FA">
        <w:rPr>
          <w:rFonts w:cs="Times New Roman" w:eastAsia="Calibri"/>
          <w:b/>
        </w:rPr>
        <w:t>2)</w:t>
      </w:r>
      <w:r w:rsidRPr="000111FA">
        <w:rPr>
          <w:rFonts w:cs="Times New Roman" w:eastAsia="Calibri" w:hAnsi="Calibri" w:ascii="Calibri"/>
          <w:sz w:val="22"/>
          <w:szCs w:val="22"/>
        </w:rPr>
        <w:t xml:space="preserve"> </w:t>
      </w:r>
      <w:r w:rsidRPr="000111FA">
        <w:rPr>
          <w:rFonts w:cs="Times New Roman" w:eastAsia="Calibri"/>
        </w:rPr>
        <w:t xml:space="preserve">Ročište za glasovanje o izmijenjenom planu restrukturiranja i o prijedlogu </w:t>
      </w:r>
      <w:proofErr w:type="spellStart"/>
      <w:r w:rsidRPr="000111FA">
        <w:rPr>
          <w:rFonts w:cs="Times New Roman" w:eastAsia="Calibri"/>
        </w:rPr>
        <w:t>predstečajne</w:t>
      </w:r>
      <w:proofErr w:type="spellEnd"/>
      <w:r w:rsidRPr="000111FA">
        <w:rPr>
          <w:rFonts w:cs="Times New Roman" w:eastAsia="Calibri"/>
        </w:rPr>
        <w:t xml:space="preserve"> nagodbe Dužnika, koje je bilo zakazano za dan: SRIJEDA – </w:t>
      </w:r>
      <w:r w:rsidRPr="000111FA">
        <w:rPr>
          <w:rFonts w:cs="Times New Roman" w:eastAsia="Calibri"/>
          <w:u w:val="single"/>
        </w:rPr>
        <w:t>30. ožujka 2016. godine, početkom u 09,00 sati,</w:t>
      </w:r>
      <w:r w:rsidRPr="000111FA">
        <w:rPr>
          <w:rFonts w:cs="Times New Roman" w:eastAsia="Calibri"/>
        </w:rPr>
        <w:t xml:space="preserve"> u</w:t>
      </w:r>
      <w:r w:rsidRPr="000111FA">
        <w:rPr>
          <w:rFonts w:cs="Times New Roman" w:eastAsia="Calibri"/>
          <w:lang w:eastAsia="hr-HR"/>
        </w:rPr>
        <w:t xml:space="preserve"> Trgovačkom sudu u Splitu, Split, </w:t>
      </w:r>
      <w:proofErr w:type="spellStart"/>
      <w:r w:rsidRPr="000111FA">
        <w:rPr>
          <w:rFonts w:cs="Times New Roman" w:eastAsia="Calibri"/>
          <w:lang w:eastAsia="hr-HR"/>
        </w:rPr>
        <w:t>Sukoišanska</w:t>
      </w:r>
      <w:proofErr w:type="spellEnd"/>
      <w:r w:rsidRPr="000111FA">
        <w:rPr>
          <w:rFonts w:cs="Times New Roman" w:eastAsia="Calibri"/>
          <w:lang w:eastAsia="hr-HR"/>
        </w:rPr>
        <w:t xml:space="preserve"> 6.</w:t>
      </w:r>
      <w:r w:rsidRPr="000111FA">
        <w:rPr>
          <w:rFonts w:cs="Times New Roman" w:eastAsia="Calibri"/>
        </w:rPr>
        <w:t xml:space="preserve">, sudnica broj: 22.-podrumski dio, </w:t>
      </w:r>
      <w:r w:rsidRPr="000111FA">
        <w:rPr>
          <w:rFonts w:cs="Times New Roman" w:eastAsia="Calibri"/>
          <w:b/>
          <w:u w:val="single"/>
        </w:rPr>
        <w:t>neće se održati</w:t>
      </w:r>
      <w:r w:rsidRPr="000111FA">
        <w:rPr>
          <w:rFonts w:cs="Times New Roman" w:eastAsia="Calibri"/>
        </w:rPr>
        <w:t>. Novo će se ročište za glasovanje naknadno zakazati pismenim putem, o čemu će stranke biti obaviještene i pozvane preko mrežne stranice e-Oglasna ploča sudova.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b/>
          <w:lang w:eastAsia="hr-HR"/>
        </w:rPr>
        <w:t>3)</w:t>
      </w:r>
      <w:r w:rsidRPr="000111FA">
        <w:rPr>
          <w:rFonts w:cs="Times New Roman" w:eastAsia="Times New Roman"/>
          <w:lang w:eastAsia="hr-HR"/>
        </w:rPr>
        <w:t xml:space="preserve"> Ovaj se zaključak objavljuje na mrežnoj stranici e-Oglasna ploča sudova, što strankama služi kao obavijest.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 xml:space="preserve">                                                    Split, 23. ožujka 2016. godine.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u w:val="single"/>
          <w:lang w:eastAsia="hr-HR"/>
        </w:rPr>
        <w:t>Pravna pouka:</w:t>
      </w:r>
      <w:r w:rsidRPr="000111FA">
        <w:rPr>
          <w:rFonts w:cs="Times New Roman" w:eastAsia="Times New Roman"/>
          <w:lang w:eastAsia="hr-HR"/>
        </w:rPr>
        <w:t xml:space="preserve"> Protiv ovog zaključka nije dopušten pravni lijek (članak 19., stavak 7., SZ). 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right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b/>
          <w:lang w:eastAsia="hr-HR"/>
        </w:rPr>
        <w:lastRenderedPageBreak/>
        <w:t>- 2 -</w:t>
      </w:r>
      <w:r w:rsidRPr="000111FA">
        <w:rPr>
          <w:rFonts w:cs="Times New Roman" w:eastAsia="Times New Roman"/>
          <w:lang w:eastAsia="hr-HR"/>
        </w:rPr>
        <w:t xml:space="preserve">                               </w:t>
      </w:r>
      <w:r w:rsidRPr="000111FA">
        <w:rPr>
          <w:rFonts w:cs="Times New Roman" w:eastAsia="Times New Roman"/>
          <w:b/>
          <w:lang w:eastAsia="hr-HR"/>
        </w:rPr>
        <w:t>Broj:  14. -St-1106/2015.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u w:val="single"/>
          <w:lang w:eastAsia="hr-HR"/>
        </w:rPr>
      </w:pPr>
      <w:r w:rsidRPr="000111FA">
        <w:rPr>
          <w:rFonts w:cs="Times New Roman" w:eastAsia="Times New Roman"/>
          <w:u w:val="single"/>
          <w:lang w:eastAsia="hr-HR"/>
        </w:rPr>
        <w:t>DNA:</w:t>
      </w: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111FA">
        <w:rPr>
          <w:rFonts w:cs="Times New Roman" w:eastAsia="Times New Roman"/>
          <w:lang w:eastAsia="hr-HR"/>
        </w:rPr>
        <w:t xml:space="preserve">1. </w:t>
      </w:r>
      <w:r w:rsidRPr="000111FA">
        <w:rPr>
          <w:rFonts w:cs="Times New Roman" w:eastAsia="Times New Roman"/>
          <w:bCs/>
          <w:lang w:eastAsia="hr-HR"/>
        </w:rPr>
        <w:t>e-Oglasna ploča Suda – rok 30., dana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>2.  Spis.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>Split, 23. ožujka 2016. godine.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  <w:r w:rsidRPr="000111FA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0111FA" w:rsidP="000111FA" w:rsidR="000111FA" w:rsidRPr="000111F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1FA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0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St-1106/2015-53</izvorni_sadrzaj>
    <derivirana_varijabla naziv="DomainObject.Oznaka_1">St-1106/2015-53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St-1106/2015-53</izvorni_sadrzaj>
    <derivirana_varijabla naziv="DomainObject.PoslovniBrojDokumenta_1">St-1106/2015-53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038D4-272A-4D03-848D-F4FE9BB46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1342</properties:Characters>
  <properties:Lines>71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St-1106/2015-53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