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5b1b9" w14:paraId="2d5b1b9" w:rsidRDefault="00AB4602" w:rsidP="005250D4" w:rsidR="005250D4" w:rsidRPr="005250D4">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250D4" w:rsidRPr="005250D4">
        <w:rPr>
          <w:rFonts w:cs="Times New Roman"/>
        </w:rPr>
        <w:t xml:space="preserve">    REPUBLIKA HRVATSKA</w:t>
      </w:r>
    </w:p>
    <w:p w:rsidRDefault="005250D4" w:rsidP="005250D4" w:rsidR="005250D4" w:rsidRPr="005250D4">
      <w:pPr>
        <w:spacing w:after="0"/>
        <w:rPr>
          <w:rFonts w:cs="Times New Roman" w:eastAsia="Times New Roman"/>
          <w:lang w:eastAsia="hr-HR"/>
        </w:rPr>
      </w:pPr>
      <w:r w:rsidRPr="005250D4">
        <w:rPr>
          <w:rFonts w:cs="Times New Roman" w:eastAsia="Times New Roman"/>
          <w:lang w:eastAsia="hr-HR"/>
        </w:rPr>
        <w:t>TRGOVAČKI SUD U ZAGREBU</w:t>
      </w:r>
    </w:p>
    <w:p w:rsidRDefault="005250D4" w:rsidP="005250D4" w:rsidR="005250D4" w:rsidRPr="005250D4">
      <w:pPr>
        <w:spacing w:after="0"/>
        <w:rPr>
          <w:rFonts w:cs="Times New Roman" w:eastAsia="Times New Roman"/>
          <w:lang w:eastAsia="hr-HR"/>
        </w:rPr>
      </w:pPr>
      <w:r w:rsidRPr="005250D4">
        <w:rPr>
          <w:rFonts w:cs="Times New Roman" w:eastAsia="Times New Roman"/>
          <w:lang w:eastAsia="hr-HR"/>
        </w:rPr>
        <w:t xml:space="preserve">         Stalna služba u Karlovcu </w:t>
      </w:r>
    </w:p>
    <w:p w:rsidRDefault="005250D4" w:rsidP="005250D4" w:rsidR="005250D4" w:rsidRPr="005250D4">
      <w:pPr>
        <w:spacing w:after="0"/>
        <w:rPr>
          <w:rFonts w:cs="Times New Roman" w:eastAsia="Times New Roman"/>
          <w:lang w:eastAsia="hr-HR"/>
        </w:rPr>
      </w:pPr>
      <w:r w:rsidRPr="005250D4">
        <w:rPr>
          <w:rFonts w:cs="Times New Roman" w:eastAsia="Times New Roman"/>
          <w:lang w:eastAsia="hr-HR"/>
        </w:rPr>
        <w:t>Karlovac, Trg hrvatskih branitelja 1/II</w:t>
      </w:r>
    </w:p>
    <w:p w:rsidRDefault="005250D4" w:rsidP="005250D4" w:rsidR="005250D4" w:rsidRPr="005250D4">
      <w:pPr>
        <w:spacing w:after="0"/>
        <w:rPr>
          <w:rFonts w:cs="Times New Roman" w:eastAsia="Times New Roman"/>
          <w:lang w:eastAsia="hr-HR"/>
        </w:rPr>
      </w:pPr>
    </w:p>
    <w:p w:rsidRDefault="005250D4" w:rsidP="005250D4" w:rsidR="005250D4" w:rsidRPr="005250D4">
      <w:pPr>
        <w:spacing w:after="0"/>
        <w:jc w:val="center"/>
        <w:rPr>
          <w:rFonts w:cs="Times New Roman" w:eastAsia="Times New Roman"/>
          <w:lang w:eastAsia="hr-HR"/>
        </w:rPr>
      </w:pPr>
      <w:r w:rsidRPr="005250D4">
        <w:rPr>
          <w:rFonts w:cs="Times New Roman" w:eastAsia="Times New Roman"/>
          <w:lang w:eastAsia="hr-HR"/>
        </w:rPr>
        <w:t>R E P U B  L I K A   H R V A T S K A</w:t>
      </w:r>
    </w:p>
    <w:p w:rsidRDefault="005250D4" w:rsidP="005250D4" w:rsidR="005250D4" w:rsidRPr="005250D4">
      <w:pPr>
        <w:spacing w:after="0"/>
        <w:rPr>
          <w:rFonts w:cs="Times New Roman" w:eastAsia="Times New Roman"/>
          <w:lang w:eastAsia="hr-HR"/>
        </w:rPr>
      </w:pPr>
    </w:p>
    <w:p w:rsidRDefault="005250D4" w:rsidP="005250D4" w:rsidR="005250D4" w:rsidRPr="005250D4">
      <w:pPr>
        <w:tabs>
          <w:tab w:pos="4050" w:val="left"/>
        </w:tabs>
        <w:spacing w:after="0"/>
        <w:rPr>
          <w:rFonts w:cs="Times New Roman" w:eastAsia="Times New Roman"/>
          <w:lang w:eastAsia="hr-HR"/>
        </w:rPr>
      </w:pPr>
      <w:r w:rsidRPr="005250D4">
        <w:rPr>
          <w:rFonts w:cs="Times New Roman" w:eastAsia="Times New Roman"/>
          <w:lang w:eastAsia="hr-HR"/>
        </w:rPr>
        <w:tab/>
        <w:t>R J E Š E N J E</w:t>
      </w:r>
    </w:p>
    <w:p w:rsidRDefault="005250D4" w:rsidP="005250D4" w:rsidR="005250D4" w:rsidRPr="005250D4">
      <w:pPr>
        <w:spacing w:after="0"/>
        <w:rPr>
          <w:rFonts w:cs="Times New Roman" w:eastAsia="Times New Roman"/>
          <w:lang w:eastAsia="hr-HR"/>
        </w:rPr>
      </w:pPr>
    </w:p>
    <w:p w:rsidRDefault="005250D4" w:rsidP="005250D4" w:rsidR="005250D4" w:rsidRPr="005250D4">
      <w:pPr>
        <w:spacing w:after="0"/>
        <w:jc w:val="both"/>
        <w:rPr>
          <w:rFonts w:cs="Times New Roman" w:eastAsia="Times New Roman"/>
          <w:lang w:eastAsia="hr-HR"/>
        </w:rPr>
      </w:pPr>
      <w:r w:rsidRPr="005250D4">
        <w:rPr>
          <w:rFonts w:cs="Times New Roman" w:eastAsia="Times New Roman"/>
          <w:lang w:eastAsia="hr-HR"/>
        </w:rPr>
        <w:tab/>
        <w:t>TRGOVAČKI SUD U ZAGREBU, Stalna služba u Karlovcu, po sucu Jadranki Mađeruh, kao stečajnom sucu, u stečajnom postupku nad stečajnim dužnikom PINK AND PURPLE j.d.o.o. u stečaju, Zagreb, Masarykova 15, OIB: 41767223567, 14 lipnja 2019.</w:t>
      </w:r>
    </w:p>
    <w:p w:rsidRDefault="005250D4" w:rsidP="005250D4" w:rsidR="005250D4" w:rsidRPr="005250D4">
      <w:pPr>
        <w:spacing w:after="0"/>
        <w:rPr>
          <w:rFonts w:cs="Times New Roman" w:eastAsia="Times New Roman"/>
          <w:lang w:eastAsia="hr-HR"/>
        </w:rPr>
      </w:pPr>
    </w:p>
    <w:p w:rsidRDefault="005250D4" w:rsidP="005250D4" w:rsidR="005250D4" w:rsidRPr="005250D4">
      <w:pPr>
        <w:spacing w:after="0"/>
        <w:jc w:val="center"/>
        <w:rPr>
          <w:rFonts w:cs="Times New Roman" w:eastAsia="Times New Roman"/>
          <w:lang w:eastAsia="hr-HR"/>
        </w:rPr>
      </w:pPr>
      <w:r w:rsidRPr="005250D4">
        <w:rPr>
          <w:rFonts w:cs="Times New Roman" w:eastAsia="Times New Roman"/>
          <w:lang w:eastAsia="hr-HR"/>
        </w:rPr>
        <w:t>r i j e š i o   j e</w:t>
      </w:r>
    </w:p>
    <w:p w:rsidRDefault="005250D4" w:rsidP="005250D4" w:rsidR="005250D4" w:rsidRPr="005250D4">
      <w:pPr>
        <w:spacing w:after="0"/>
        <w:ind w:left="1608"/>
        <w:jc w:val="both"/>
        <w:rPr>
          <w:rFonts w:cs="Times New Roman" w:eastAsia="Times New Roman"/>
          <w:lang w:eastAsia="hr-HR"/>
        </w:rPr>
      </w:pPr>
    </w:p>
    <w:p w:rsidRDefault="005250D4" w:rsidP="005250D4" w:rsidR="005250D4" w:rsidRPr="005250D4">
      <w:pPr>
        <w:spacing w:after="0"/>
        <w:ind w:left="1608"/>
        <w:jc w:val="both"/>
        <w:rPr>
          <w:rFonts w:cs="Times New Roman" w:eastAsia="Times New Roman"/>
          <w:lang w:eastAsia="hr-HR"/>
        </w:rPr>
      </w:pPr>
      <w:r w:rsidRPr="005250D4">
        <w:rPr>
          <w:rFonts w:cs="Times New Roman" w:eastAsia="Times New Roman"/>
          <w:lang w:eastAsia="hr-HR"/>
        </w:rPr>
        <w:t>Ukidaju se odluke skupštine vjerovnika od 11. lipnja 2019. koje glase:</w:t>
      </w:r>
    </w:p>
    <w:p w:rsidRDefault="005250D4" w:rsidP="005250D4" w:rsidR="005250D4" w:rsidRPr="005250D4">
      <w:pPr>
        <w:spacing w:after="0"/>
        <w:ind w:left="1608"/>
        <w:jc w:val="both"/>
        <w:rPr>
          <w:rFonts w:cs="Times New Roman" w:eastAsia="Times New Roman"/>
          <w:lang w:eastAsia="hr-HR"/>
        </w:rPr>
      </w:pPr>
    </w:p>
    <w:p w:rsidRDefault="005250D4" w:rsidP="005250D4" w:rsidR="005250D4" w:rsidRPr="005250D4">
      <w:pPr>
        <w:spacing w:lineRule="auto" w:line="276" w:after="70"/>
        <w:ind w:left="1440"/>
        <w:jc w:val="both"/>
        <w:rPr>
          <w:rFonts w:cs="Times New Roman" w:eastAsia="Times New Roman"/>
          <w:lang w:eastAsia="hr-HR"/>
        </w:rPr>
      </w:pPr>
      <w:r w:rsidRPr="005250D4">
        <w:rPr>
          <w:rFonts w:cs="Times New Roman" w:eastAsia="Times New Roman"/>
          <w:lang w:eastAsia="hr-HR"/>
        </w:rPr>
        <w:t>"2. Poslovanje će se nastaviti nakon što stečajni dužnik preuzme u posjed predmetni poslovni prostor u Korčuli sudskim postupkom koji se vodi pod poslovnim brojem Ovr-500/18.</w:t>
      </w:r>
    </w:p>
    <w:p w:rsidRDefault="005250D4" w:rsidP="005250D4" w:rsidR="005250D4" w:rsidRPr="005250D4">
      <w:pPr>
        <w:numPr>
          <w:ilvl w:val="0"/>
          <w:numId w:val="47"/>
        </w:numPr>
        <w:autoSpaceDE w:val="false"/>
        <w:autoSpaceDN w:val="false"/>
        <w:adjustRightInd w:val="false"/>
        <w:spacing w:after="70"/>
        <w:jc w:val="both"/>
        <w:rPr>
          <w:rFonts w:cs="Times New Roman" w:eastAsia="Times New Roman"/>
          <w:color w:val="000000"/>
          <w:lang w:eastAsia="hr-HR"/>
        </w:rPr>
      </w:pPr>
      <w:r w:rsidRPr="005250D4">
        <w:rPr>
          <w:rFonts w:cs="Times New Roman" w:eastAsia="Times New Roman"/>
          <w:color w:val="000000"/>
          <w:lang w:eastAsia="hr-HR"/>
        </w:rPr>
        <w:t>Daje se suglasnost stečajnom upravitelju za preuzimanje parnice koja se vodi pred Općinskim sudom u Sesvetama, Stalna služba u Svetom Ivanu Zelini, poslovni broj P-648/19, radi stjecanja bez osnove i naknade štete bez predujmljivanja iznosa od 141.250,00 kn kako je to predložio stečajni upravitelj.</w:t>
      </w:r>
    </w:p>
    <w:p w:rsidRDefault="005250D4" w:rsidP="005250D4" w:rsidR="005250D4" w:rsidRPr="005250D4">
      <w:pPr>
        <w:numPr>
          <w:ilvl w:val="0"/>
          <w:numId w:val="47"/>
        </w:numPr>
        <w:autoSpaceDE w:val="false"/>
        <w:autoSpaceDN w:val="false"/>
        <w:adjustRightInd w:val="false"/>
        <w:spacing w:after="70"/>
        <w:jc w:val="both"/>
        <w:rPr>
          <w:rFonts w:cs="Times New Roman" w:eastAsia="Times New Roman"/>
          <w:color w:val="000000"/>
          <w:lang w:eastAsia="hr-HR"/>
        </w:rPr>
      </w:pPr>
      <w:r w:rsidRPr="005250D4">
        <w:rPr>
          <w:rFonts w:cs="Times New Roman" w:eastAsia="Times New Roman"/>
          <w:color w:val="000000"/>
          <w:lang w:eastAsia="hr-HR"/>
        </w:rPr>
        <w:t>Daje se suglasnost stečajnom upravitelju da preuzme postupak u predmetu koji se vodi pred Općinskim sudom u Dubrovniku, Stalna služba u Korčuli, poslovni broj Ovr-500/18.</w:t>
      </w:r>
    </w:p>
    <w:p w:rsidRDefault="005250D4" w:rsidP="005250D4" w:rsidR="005250D4" w:rsidRPr="005250D4">
      <w:pPr>
        <w:numPr>
          <w:ilvl w:val="0"/>
          <w:numId w:val="47"/>
        </w:numPr>
        <w:spacing w:lineRule="auto" w:line="276" w:after="200"/>
        <w:jc w:val="both"/>
        <w:rPr>
          <w:rFonts w:cs="Times New Roman" w:eastAsia="Times New Roman"/>
          <w:lang w:eastAsia="hr-HR"/>
        </w:rPr>
      </w:pPr>
      <w:r w:rsidRPr="005250D4">
        <w:rPr>
          <w:rFonts w:cs="Times New Roman" w:eastAsia="Times New Roman"/>
          <w:color w:val="000000"/>
          <w:lang w:eastAsia="hr-HR"/>
        </w:rPr>
        <w:t>Daje se suglasnost stečajnom upravitelju izdati punomoć odvjetniku  Hrvoju Čipčiću-Bragadinu za zastupanje u postupcima pod poslovnim brojem P-648/19 pred Općinskim sudom u Sesvetama i pod poslovnim brojem Ovr-500/18 pred Općinskim sudom u Dubrovniku</w:t>
      </w:r>
      <w:r w:rsidRPr="005250D4">
        <w:rPr>
          <w:rFonts w:cs="Times New Roman" w:eastAsia="Times New Roman"/>
          <w:lang w:eastAsia="hr-HR"/>
        </w:rPr>
        <w:t xml:space="preserve"> prema kojem bi njemu bilo plaćeno 20 % od namirenog od tuženika na ime glavnice i kamata i troškovi koje bi protivna strana trebala platiti dužniku na ime parničnih troškova.</w:t>
      </w:r>
    </w:p>
    <w:p w:rsidRDefault="005250D4" w:rsidP="005250D4" w:rsidR="005250D4" w:rsidRPr="005250D4">
      <w:pPr>
        <w:numPr>
          <w:ilvl w:val="0"/>
          <w:numId w:val="47"/>
        </w:numPr>
        <w:spacing w:after="0"/>
        <w:jc w:val="both"/>
        <w:rPr>
          <w:rFonts w:cs="Times New Roman" w:eastAsia="Times New Roman"/>
          <w:lang w:eastAsia="hr-HR"/>
        </w:rPr>
      </w:pPr>
      <w:r w:rsidRPr="005250D4">
        <w:rPr>
          <w:rFonts w:cs="Times New Roman" w:eastAsia="Times New Roman"/>
          <w:lang w:eastAsia="hr-HR"/>
        </w:rPr>
        <w:t>Stečajni upravitelj će izraditi stečajni plan u roku 30 dana sa smjernicama prema kojem bi svi vjerovnici imali isti tretman bez svrstavanja u skupine, da bi dospjelost njihovih tražbina ovisila o naplati tražbine iz parničnog postupka odnosno iz prihoda ostvarenog kroz nastavak poslovanja jer druge imovine dužnik nema te prema pisanom prijedlogu koji se vjerovnik Hrvoje Čipčić-Bragadin obvezuje dostaviti stečajnom upravitelju."</w:t>
      </w:r>
    </w:p>
    <w:p w:rsidRDefault="005250D4" w:rsidP="005250D4" w:rsidR="005250D4" w:rsidRPr="005250D4">
      <w:pPr>
        <w:spacing w:after="0"/>
        <w:ind w:left="1608"/>
        <w:jc w:val="both"/>
        <w:rPr>
          <w:rFonts w:cs="Times New Roman" w:eastAsia="Times New Roman"/>
          <w:lang w:eastAsia="hr-HR"/>
        </w:rPr>
      </w:pPr>
    </w:p>
    <w:p w:rsidRDefault="005250D4" w:rsidP="005250D4" w:rsidR="005250D4" w:rsidRPr="005250D4">
      <w:pPr>
        <w:spacing w:after="0"/>
        <w:ind w:left="1608"/>
        <w:jc w:val="both"/>
        <w:rPr>
          <w:rFonts w:cs="Times New Roman" w:eastAsia="Times New Roman"/>
          <w:lang w:eastAsia="hr-HR"/>
        </w:rPr>
      </w:pPr>
    </w:p>
    <w:p w:rsidRDefault="005250D4" w:rsidP="005250D4" w:rsidR="005250D4" w:rsidRPr="005250D4">
      <w:pPr>
        <w:spacing w:after="0"/>
        <w:ind w:left="1608"/>
        <w:jc w:val="both"/>
        <w:rPr>
          <w:rFonts w:cs="Times New Roman" w:eastAsia="Times New Roman"/>
          <w:lang w:eastAsia="hr-HR"/>
        </w:rPr>
      </w:pPr>
    </w:p>
    <w:p w:rsidRDefault="005250D4" w:rsidP="005250D4" w:rsidR="005250D4" w:rsidRPr="005250D4">
      <w:pPr>
        <w:spacing w:after="0"/>
        <w:ind w:left="1608"/>
        <w:jc w:val="both"/>
        <w:rPr>
          <w:rFonts w:cs="Times New Roman" w:eastAsia="Times New Roman"/>
          <w:lang w:eastAsia="hr-HR"/>
        </w:rPr>
      </w:pPr>
    </w:p>
    <w:p w:rsidRDefault="005250D4" w:rsidP="005250D4" w:rsidR="005250D4" w:rsidRPr="005250D4">
      <w:pPr>
        <w:spacing w:after="0"/>
        <w:ind w:firstLine="708"/>
        <w:jc w:val="center"/>
        <w:rPr>
          <w:rFonts w:cs="Times New Roman" w:eastAsia="Times New Roman"/>
          <w:b/>
          <w:lang w:eastAsia="hr-HR"/>
        </w:rPr>
      </w:pPr>
      <w:r w:rsidRPr="005250D4">
        <w:rPr>
          <w:rFonts w:cs="Times New Roman" w:eastAsia="Times New Roman"/>
          <w:lang w:eastAsia="hr-HR"/>
        </w:rPr>
        <w:t>Obrazloženje</w:t>
      </w:r>
    </w:p>
    <w:p w:rsidRDefault="005250D4" w:rsidP="005250D4" w:rsidR="005250D4" w:rsidRPr="005250D4">
      <w:pPr>
        <w:spacing w:after="0"/>
        <w:ind w:firstLine="708"/>
        <w:jc w:val="center"/>
        <w:rPr>
          <w:rFonts w:cs="Times New Roman" w:eastAsia="Times New Roman"/>
          <w:b/>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Skupština vjerovnika na izvještajnom ročištu 11. lipnja 2019. donijela je odluke pod točkom 2. do 6. kako slijedi:</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"2. Poslovanje koje je već obustavljeno se neće nastaviti, odnosno poslovanje će se nastaviti nakon što stečajni dužnik preuzme u posjed predmetni poslovni prostor u Korčuli sudskim postupkom koji se vodi pod poslovnim brojem Ovr-500/18.</w:t>
      </w: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3.</w:t>
      </w:r>
      <w:r w:rsidRPr="005250D4">
        <w:rPr>
          <w:rFonts w:cs="Times New Roman" w:eastAsia="Times New Roman"/>
          <w:lang w:eastAsia="hr-HR"/>
        </w:rPr>
        <w:tab/>
        <w:t>Daje se suglasnost stečajnom upravitelju za preuzimanje parnice koja se vodi pred Općinskim sudom u Sesvetama, Stalna služba u Svetom Ivanu Zelini, poslovni broj P-648/19, radi stjecanja bez osnove i naknade štete bez predujmljivanja iznosa od 141.250,00 kn kako je to predložio stečajni upravitelj.</w:t>
      </w: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4.</w:t>
      </w:r>
      <w:r w:rsidRPr="005250D4">
        <w:rPr>
          <w:rFonts w:cs="Times New Roman" w:eastAsia="Times New Roman"/>
          <w:lang w:eastAsia="hr-HR"/>
        </w:rPr>
        <w:tab/>
        <w:t>Daje se suglasnost stečajnom upravitelju da preuzme postupak u predmetu koji se vodi pred Općinskim sudom u Dubrovniku, Stalna služba u Korčuli, poslovni broj Ovr-500/18.</w:t>
      </w: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5.</w:t>
      </w:r>
      <w:r w:rsidRPr="005250D4">
        <w:rPr>
          <w:rFonts w:cs="Times New Roman" w:eastAsia="Times New Roman"/>
          <w:lang w:eastAsia="hr-HR"/>
        </w:rPr>
        <w:tab/>
        <w:t>Daje se suglasnost stečajnom upravitelju izdati punomoć odvjetniku  Hrvoju Čipčiću-Bragadinu za zastupanje u postupcima pod poslovnim brojem P-648/19 pred Općinskim sudom  Sesvetama i pod poslovnim brojem Ovr-500/18 pred Općinskim sudom u Dubrovniku prema kojem bi njemu bilo plaćeno 20 % od namirenog od tuženika na ime glavnice i kamata i troškovi koje bi protivna strana trebala platiti dužniku na ime parničnih troškova.</w:t>
      </w: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6.</w:t>
      </w:r>
      <w:r w:rsidRPr="005250D4">
        <w:rPr>
          <w:rFonts w:cs="Times New Roman" w:eastAsia="Times New Roman"/>
          <w:lang w:eastAsia="hr-HR"/>
        </w:rPr>
        <w:tab/>
        <w:t>Stečajni upravitelj će izraditi stečajni plan u roku 30 dana sa smjernicama prema kojem bi svi vjerovnici imali isti tretman bez svrstavanja u skupine, da bi dospjelost njihovih tražbina ovisila o naplati tražbine iz parničnog postupka odnosno iz prihoda ostvarenog kroz nastavak poslovanja jer druge imovine dužnik nema te prema pisanom prijedlogu koji se vjerovnik Hrvoje Čipčić-Bragadin obvezuje dostaviti stečajnom upravitelju."</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 xml:space="preserve">Navedene odluke skupštine vjerovnika donijete su s većinom glasova vjerovnika Hrvoja Čipčića-Bragadina s iznosom utvrđene tražbine od 251.707,23 kn i Marka Matulovića  s iznosom utvrđene tražbine od 129.836,08 kn, dok je vjerovnik Republika Hrvatska, Ministarstvo financija, Porezna uprava s iznosom utvrđene tražbine od 65.112,75 kn bio protiv tih odluka. Vjerovnik Mark Matulović bio je zakonski zastupnik dužnika do otvaranja stečajnog postupka, a vjerovnik Hrvoje Čipčić-Bragadin je kao odvjetnik bio punomoćnik dužnika do otvaranja stečajnog postupka, a nakon otvaranja stečajnog postupka je punomoćnik vjerovnika Marka Matulovića. </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 xml:space="preserve">Stečajni dužnik je osnovan kao jednostavno društvo s ograničenom odgovornošću s temeljnim kapitalom od 10,00 kn (list 3 do 5 spisa). Nesporno je da stečajni dužnik nema nikakve imovine, što je utvrđeno u tijeku prethodnog postupka te je postupak nastavljen otvaranjem i vođenjem stečajnog postupka isključivo zbog uplaćenog predujam u iznosu od 5.000,00 kn po vjerovniku Hrvoju Čipčiću-Bragadinu (list 81 spisa) i zaplijenjenih sredstava </w:t>
      </w:r>
      <w:r w:rsidRPr="005250D4">
        <w:rPr>
          <w:rFonts w:cs="Times New Roman" w:eastAsia="Times New Roman"/>
          <w:lang w:eastAsia="hr-HR"/>
        </w:rPr>
        <w:lastRenderedPageBreak/>
        <w:t>po FINA-i u iznosu od 4.825,00 kn (uvid u eSpis), jer bi u protivnom postupak bio istovremeno otvoren i zaključen.</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Protiv odluke suda poslovni broj St-3379/17 od 31. listopada 2018. o pozivanju osoba koje imaju pravni interes za provođenje stečajnog postupka nad dužnikom kao i protiv odluke poslovni broj St-3379/17 od 28. siječnja 2019. o otvaranju stečajnog postupka dužnik odnosno zakonski zastupnik dužnika do otvaranja stečajnog postupka je po punomoćniku odvjetniku Hrvoju Čipčić-Bragadin uložio žalbe koje su obje odbijene i potvrđene prvostupanjske odluke odlukama Visokog trgovačkog suda Republike Hrvatske Pž-6845/18 od 28. studenog 2018. i Pž-1045/19 od 6. ožujka 2019. (list 76 do 78 spisa, i list 101 do 104 spisa).</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Prema izvješću stečajnog upravitelja o gospodarskom položaju stečajnog dužnika u bitnome proizlazi da je dužnik obavljao ugostiteljsku djelatnost u zakupljenom poslovnom prostoru, koji u naravi predstavlja ugostiteljski objekt u Korčuli. Ugovor je sklopljen na period od1. listopada 2014. do 1. listopada 2019. Dužnik je od strane vlasnice prostora i trećih osoba udaljen iz predmetnog objekta te je po tužbi dužnika Općinski sud donio rješenje o smetanju posjeda poslovni broj Psp-60/17 od 7. ožujka 2018. Dužnik nije evidentiran kao vlasnik nekretnina, ni kao vlasnik vozila, ni kao član trgovačkih društava u RH, nema potraživanja prema drugim kupcima. Dakle, dužnik nema nikakve imovine. Dužnik kao tužitelj vodi parnični postupak pred Općinskim sudom u Sesvetama pod poslovnim brojem P-648/19 protiv prvotuženika Aleksandra Ćaćulovića, drugotuženika Ante Šeparovića, trećetuženika Ace Matulovića, četvrtotuženika Marije Galić i petotuženika Ljube Galića radi stjecanja bez osnove i naknade štete, VPS-a 3.100.000,00 kn. Stečajni upravitelj je naveo kako je spor znatne vrijednosti, a dužnikova imovina nije dovoljna za namirenje predvidivih troškova postupka, pa predlaže pozvati vjerovnike na uplatu predujma ukoliko se donese odluka o nastavku parničnog postupka, a koji predujam iznosi sveukupno 257.500,00 kn kako je to specificirano i odnosi se na trošak obiju parničnih strana, kao i trošak financijskog vještačenja i sudskih pristojbi. Nadalje, dužnik je pokrenuo ovršni postupak pred Općinskim sudom u Dubrovniku pod poslovnim brojem Ovr-500/18 radi ispražnjenja nekretnine i predaje u posjed. Radi se o zakupljenoj nekretnini u kojoj je dužnik obavljao svoju djelatnost,a  potom je uslijedilo smetanje posjeda o čemu je doneseno pravomoćno rješenje o smetanju posjeda poslovni broj Psp-60/17 od 7. ožujka 2018. temeljem koje je donijeto rješenje o ovrsi, a ovršenici su podnijeli žalbu u kojoj nije odlučeno. Smatra, a s obzirom da dužnik više ne obavlja djelatnost, kako ovaj postupak neće donijeti nikakve koristi stečajnoj masi, već naprotiv mogle bi nastati nove obveze u vidu plaćanja komunalne naknade, naknade za uređenje voda i sl., ukoliko bi se predmetna nekretnina vratila u posjed ovrhovoditelju. Prijedlozi odluka stečajnog upravitelja su da se prihvati njegovo izvješće, da se poslovanje koje je već obustavljeno ne nastavlja, da se da suglasnost stečajnom upravitelju za preuzimanje parnice pred Općinskim sudom u Sesvetama pod poslovnim brojem P-648/19 pod uvjetom da vjerovnici solidarno uplate predujam od 257.500 kn za troškove postupka, te da je stečajni upravitelj ovlašten izdati punomoć za zastupanje odvjetniku, a ukoliko predujam nije uplaćen smatrat će se da nije dana suglasnost za preuzimanje parnice. Nadalje, da u slučaju nastavka ovršnog postupka pred Općinskim sudom u Dubrovniku pod poslovnim brojem Ovr-500/18 povuče prijedlog za ovrhu.</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lastRenderedPageBreak/>
        <w:t>Na skupštini vjerovnika 11. lipnja 2019. bila su nazočna dva vjerovnika s time da je vjerovnik Hrvoje Čipčić-Bragadin  osim u osobno ime zastupao i vjerovnika Marka Matulovića, te je bio nazočan i zakonska zastupnica vjerovnika Republika Hrvatska, Ministarstvo financija, Porezna uprava, Područni ured Zagreb – zamjenica ŽDO u Karlovcu Sonja Uroić Štefanko s iznosom utvrđene tražbine od 65.112,75 kn kao tražbine drugog višeg isplatnog reda. S obzirom da je vjerovnik – odvjetnik Hrvoje Čipčić-Bragadin na ročištu naveo kako bi zastupao dužnika u navedenim postupcima bez predujmljivanja nagrade i naknade troškova, to je stečajni upravitelj smanjio predviđeni iznos predujma za trošak zastupanja dužnika po punomoćniku u iznosu od 93.000,00 uvećano za PDV, tako da bi trebalo uplatiti predujam u iznosu od 141.250,00 kn kako bi se nastavio parnični postupak P-648/19 pred Općinskim sudom u Sesvetama i to za tri parnične radnje protivne stranke u iznosu od 93.000,00 kn (31.000,00 kn x 3) uvećano za PDV, 10.000,00 kn za trošak vještačenja i 15.000,00 kn za sudske pristojbe.</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 xml:space="preserve">Stečajni upravitelj je predložio ukidanje odluka skupštine vjerovnika pod točkama 2. do 5. navodeći kako su odluke protivne zajedničkom interesu stečajnih vjerovnika  u dijelu u kojem se određuje uvjetni nastavak poslovanja jer nije jasno na koji način bi poslovanje trebalo nastaviti, a osobito nije jasno na koji način bi stečajni dužnik koji nema nikakvu imovinu mogao osigurati tekuću likvidnost. Predloženim nastavkom poslovanja bez valjanih uvjeta i bez osiguranih troškova potrebnih za redovno poslovanje postoji realna opasnost da će stečajni dužnik stvoriti samo nove gubitke odnosno obveze stečajne mase bez ostvarenja potrebnih prihoda a što nije u zajedničkom interesu stečajnih vjerovnika. Odluka o preuzimanju parnice bez predujmljivanja troškova za tu parnicu je također protivna zajedničkom interesu stečajnih vjerovnika s obzirom da visinu štete po osnovi izmakle dobiti nije moguće izračunati bez financijsko-knjigovodstvenog vještačenja, a što bi dovelo do gubitka spora što sigurno nije u zajedničkom interesu stečajnih vjerovnika. Nadalje niti troškove sudskih pristojbi bez predujmljivanja sredstava dužnik ne bi mogao podmiriti, a niti se za postupak u tijeku može sa sigurnošću utvrditi na koji način će završiti. Vođenje parnice bez predujmljivanja potrebnih troškova bilo bi i neodgovorno, jer bi u slučaju gubitka spora stečajna masa bila opterećena obvezama za koje se unaprijed znalo da ih neće biti moguće podmiriti, a te obveze bi nesporno teretile stečajnu masu o čijem se ispunjenju i dospjeću mora voditi računa u skladu s odredbom čl.157. st. 1. Stečajnog zakona (Narodne novine broj 71715, 104/17, dalje:SZ-a). Odluka skupštine vjerovnika o nastavku ovršnog postupka radi preuzimanja u posjed zakupljene nekretnine također je protivna zajedničkom interesu stečajnih vjerovnika s obzirom da se radi o nekretnini u vlasništvu treće osobe, da dužnik dulje vrijeme ne obavlja djelatnost niti postoje uvjeti za nastavak obavljanja djelatnosti, preuzimanje posjeda bez valjanih uvjeta za poslovanje nema ekonomske logike jer ne bi donijelo nikakvu korist već bi samo stvorilo nove obveze za stečajnu masu u vidu plaćanje zakupnine, komunalna naknade, naknade za uređenje voda i sl. Nadalje, za odluku pod točkom 5. također smatra da nije u zajedničkom interesu stečajnih vjerovnika jer bi za stečajnu masu mogla nastati obaveza plaćanja odvjetničkih usluga u dodatnom iznosu, a prema načinu obračuna koji predstavlja iznimku propisanu Tarifom o nagradama i naknadi troškova za rad odvjetnika. Nastala bi obveza plaćana odvjetničke usluge prema vrijednosti predmeta spora (koja bi se naplatila od protivne strane pa je prema tome neutralna stavka za stečajnu masu), ali i u dodatnom iznosu srazmjerno uspjehu u sporu što nikako nije u zajedničkom interesu stečajnih vjerovnika. Slijedom svega navedenog i odluka o obvezi </w:t>
      </w:r>
      <w:r w:rsidRPr="005250D4">
        <w:rPr>
          <w:rFonts w:cs="Times New Roman" w:eastAsia="Times New Roman"/>
          <w:lang w:eastAsia="hr-HR"/>
        </w:rPr>
        <w:lastRenderedPageBreak/>
        <w:t>stečajnog upravitelja za izradom stečajnog plana koja se veže uz nastavak poslovanja i nastavak parničnog postupka nije u zajedničkom interesu vjerovnika kako je već obrazloženo u prethodnim točkama.</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 xml:space="preserve">Sud je po službenoj dužnosti i po zahtjevu stečajnog upravitelja ukinuo odluke skupštine vjerovnika kao u izreci rješenja jer smatra da su iste protivne zajedničkom interesu stečajnih vjerovnika. </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 xml:space="preserve">Odluka o nastavku poslovanja stečajnog dužnika ovisi o tome da li je u trenutku otvaranja stečajnog postupka stečajni dužnik radio ili nije, ima li kod dužnika započetih poslova koje je neophodno dovršiti ili je li nastavak poslovanja koristan za provedbu stečajnog plana. U konkretnom slučaju stečajni dužnik u trenutku otvaranja stečajnog postupka nije radio, odnosno nije radio od 5. rujna 2017., nema započetih poslova koje je neophodno dovršiti, niti ima bilo kakve imovine kojom bi nastavio poslovanje. Nastavak poslovanja u konkretnim okolnostima kada dužnik ne raspolaže nikakvom imovinom ne bi bio koristan za provedbu stečajnog plana, niti može osigurati tekuću likvidnost jer nema niti novčanih sredstava pa bi poslovanje, da i uđe u predmetni poslovni prostor, koji nije u njegovu vlasništvu, mogao stvoriti samo nove obveze koje dužnik nema čime podmiriti. </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 xml:space="preserve">Slijedom navedenog odluka o nastavku poslovanja nakon što stečajni dužnik preuzme u posjed predmetni poslovni prostor u Korčuli sudskim postupkom koji se vodi pod poslovnim brojem Ovr-500/18 protivna je zajedničkom interesu stečajnih vjerovnika. </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 xml:space="preserve">Odluka o preuzimanju parnice koja se vodi pred Općinskim sudom u Sesvetama pod poslovnim brojem P-648/19 vrijednosti predmeta spora od 3.100.000,00 kn bez predujmljivanja iznosa od 141.250,00 kn za namirenje troškova protivna je zajedničkom interesu stečajnih vjerovnika jer bi vođenje parnice na taj način moglo dovesti do gubitka spora, s obzirom da dužnik kao tužitelj ne bi mogao predložiti knjigovodstveno vještačenje (predviđeni trošak 10.000,00 kn) kojim bi se utvrdila visina štete koju dužnik eventualno ima, niti bi dužnik mogao podmiriti trošak sudske pristojbe (predviđeni trošak 15.000,00 kn), što bi dovelo do svjesnog preuzimanja obveze stečajne mase za koju se unaprijed zna da neće biti podmirena. U slučaju gubitka parnice dužnik bi morao platiti trošak protivne strane (tri radnje zastupanja po odvjetniku po 31.000,00 kn uvećano za PDV), što u konkretnom slučaju ne bi mogao jer prema odluci skupštine nema sredstava za taj trošak i time bi direktno izazvao odgovornost stečajnog upravitelja, a potom i stečajnog suda.  </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 xml:space="preserve">Odluka o preuzimanju postupka pred Općinskim sudom u Dubrovniku pod poslovnim brojem Ovr-500/18 radi predaje u posjed protivna je zajedničkom interesu stečajnih vjerovnika jer se radi o nekretnini koja nije dužnikovo vlasništvo i čijim preuzimanjem bi samo nastali troškovi za stečajnog dužnika, a koji se odnose na trošak zakupnine, komunalne naknade, naknade za uređenje voda i dr., a dužnik nema nikakvih sredstava za namirenje tih troškova. </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 xml:space="preserve">Odluka prema kojoj bi stečajni upravitelj izdao punomoć za zastupanje Hrvoju Čipčiću-Bragadinu u postupcima koje vodi dužnik te bi mu bilo plaćeno 20 % od namirenog od tuženika na ime glavnice i kamata, kao i troškovi koje bi protivna strana trebala platiti </w:t>
      </w:r>
      <w:r w:rsidRPr="005250D4">
        <w:rPr>
          <w:rFonts w:cs="Times New Roman" w:eastAsia="Times New Roman"/>
          <w:lang w:eastAsia="hr-HR"/>
        </w:rPr>
        <w:lastRenderedPageBreak/>
        <w:t xml:space="preserve">dužniku na ime parničnih troškova protivna je zajedničkom interesu stečajnih vjerovnika jer bi stečajni dužnik punomoćniku pored troškova koje je naplatio od protivne strane morao platiti i daljnjih 20 % od eventualno ostvarene glavnice i kamata, što u svakom slučaju značajno smanjuje stečajnu masu i nikako nije u zajedničkom interesu stečajnih vjerovnika, već samo vjerovnika Hrvoja Čipčića-Bragadina. Naime, radi se o posebnoj vrsti ugovaranja nagrade za rad odvjetnika u smislu Tbr.93. toč.3. Tarife o nagradama i naknadi troškova za rad odvjetnika (Narodne novine broj 142/12, 103/14, 118/14, 107/15), koja se koristi samo iznimno, pa bi se održavanjem odluke kao pod točkom 5. skupštine vjerovnika od 11. lipnja 2019., vjerovniku Hrvoju Čipčiću-Bragadinu, ujedno i eventualnom punomoćniku dužnika pogodovalo u namirenju iz stečajne mase. </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Odluka o izradi stečajnog plana bez ikakve dužnikove imovine i prihoda nije u zajedničkom interesu stečajnih vjerovnika s obzirom da se ista veže uz odluku o nastavku poslovanja i nastavku parničnog postupka, a koje odluke je sud ukinuo prema obrazloženju kako je naprijed navedeno. Stečajnim planom se vjerovnicima omogućuje da odstupe od osnovnih pravila o prodaji imovine dužnika i raspodjeli tih sredstava. Međutim u konkretnom slučaju nema nikakve imovine da bi se pripremio stečajni plan, a što je preduvjet za isti, pa izrada stečajnog plana, bez ikakve imovine i bez poslovanja koje je obustavljeno pred nešto manje od dvije godine je nerealna, neživotna i neodrživa.</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Prema ocjeni ovog suda postoji mogućnost stjecanja naknadne stečajne mase u vidu dužnikovog potraživanja u parničnom postupku pod poslovnim brojem P-648/19 pred Općinskim sudom u Sesvetama, ali pod uvjetom predujmljivanja sredstava za vođenje te parnice, pa ukoliko bi se eventualno uspjelo u toj parnici i namirilo eventualno potraživanje, postoji mogućnost i diobe.</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Opisane ukinute odluke skupštine vjerovnika donijete su isključivo glasovima vjerovnika – bivšeg zakonskog zastupnika dužnika i njegovog punomoćnika, te su te odluke samo nastavak postupanja tih sudionika koji su u tijeku postupka već neuspješno koristili pravna sredstva kako je naprijed opisano.</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ind w:firstLine="708"/>
        <w:jc w:val="both"/>
        <w:rPr>
          <w:rFonts w:cs="Times New Roman" w:eastAsia="Times New Roman"/>
          <w:lang w:eastAsia="hr-HR"/>
        </w:rPr>
      </w:pPr>
      <w:r w:rsidRPr="005250D4">
        <w:rPr>
          <w:rFonts w:cs="Times New Roman" w:eastAsia="Times New Roman"/>
          <w:lang w:eastAsia="hr-HR"/>
        </w:rPr>
        <w:t>Kako dužnik nema nikakve imovine već je samo u tijeku naprijed opisan spor, neizvjesnog ishoda  u slučaju da su i predujmljena sredstava za njegovo vođenje, a kamoli kada ta sredstva nisu i neće biti predujmljena, sud smatra da je dio odluke pod točkom 2., te odluke pod točkom 3., 4., 5. i 6. donijete na skupštini vjerovnika 11. lipnja 2019. protivne zajedničkom interesu stečajnih vjerovnika pa su iste ukinute po službenoj dužnosti i na zahtjev stečajnog upravitelja kao u izreci rješenja, a temeljem čl.108. st.1. Stečajnog zakona.</w:t>
      </w:r>
    </w:p>
    <w:p w:rsidRDefault="005250D4" w:rsidP="005250D4" w:rsidR="005250D4" w:rsidRPr="005250D4">
      <w:pPr>
        <w:spacing w:after="0"/>
        <w:ind w:firstLine="708"/>
        <w:jc w:val="both"/>
        <w:rPr>
          <w:rFonts w:cs="Times New Roman" w:eastAsia="Times New Roman"/>
          <w:lang w:eastAsia="hr-HR"/>
        </w:rPr>
      </w:pPr>
    </w:p>
    <w:p w:rsidRDefault="005250D4" w:rsidP="005250D4" w:rsidR="005250D4" w:rsidRPr="005250D4">
      <w:pPr>
        <w:spacing w:after="0"/>
        <w:jc w:val="center"/>
        <w:rPr>
          <w:rFonts w:cs="Times New Roman" w:eastAsia="Times New Roman"/>
          <w:lang w:eastAsia="hr-HR"/>
        </w:rPr>
      </w:pPr>
    </w:p>
    <w:p w:rsidRDefault="005250D4" w:rsidP="005250D4" w:rsidR="005250D4" w:rsidRPr="005250D4">
      <w:pPr>
        <w:spacing w:after="0"/>
        <w:jc w:val="center"/>
        <w:rPr>
          <w:rFonts w:cs="Times New Roman" w:eastAsia="Times New Roman"/>
          <w:lang w:eastAsia="hr-HR"/>
        </w:rPr>
      </w:pPr>
      <w:r w:rsidRPr="005250D4">
        <w:rPr>
          <w:rFonts w:cs="Times New Roman" w:eastAsia="Times New Roman"/>
          <w:lang w:eastAsia="hr-HR"/>
        </w:rPr>
        <w:t>U Karlovcu 14. lipnja 2019.</w:t>
      </w:r>
    </w:p>
    <w:p w:rsidRDefault="005250D4" w:rsidP="005250D4" w:rsidR="005250D4" w:rsidRPr="005250D4">
      <w:pPr>
        <w:spacing w:after="0"/>
        <w:jc w:val="both"/>
        <w:rPr>
          <w:rFonts w:cs="Times New Roman" w:eastAsia="Times New Roman"/>
          <w:lang w:eastAsia="hr-HR"/>
        </w:rPr>
      </w:pPr>
    </w:p>
    <w:p w:rsidRDefault="005250D4" w:rsidP="005250D4" w:rsidR="005250D4" w:rsidRPr="005250D4">
      <w:pPr>
        <w:tabs>
          <w:tab w:pos="6375" w:val="left"/>
        </w:tabs>
        <w:spacing w:after="0"/>
        <w:jc w:val="both"/>
        <w:rPr>
          <w:rFonts w:cs="Times New Roman" w:eastAsia="Times New Roman"/>
          <w:lang w:eastAsia="hr-HR"/>
        </w:rPr>
      </w:pPr>
      <w:r w:rsidRPr="005250D4">
        <w:rPr>
          <w:rFonts w:cs="Times New Roman" w:eastAsia="Times New Roman"/>
          <w:lang w:eastAsia="hr-HR"/>
        </w:rPr>
        <w:tab/>
        <w:t xml:space="preserve">      Stečajni sudac:</w:t>
      </w:r>
    </w:p>
    <w:p w:rsidRDefault="005250D4" w:rsidP="005250D4" w:rsidR="005250D4">
      <w:pPr>
        <w:tabs>
          <w:tab w:pos="6375" w:val="left"/>
        </w:tabs>
        <w:spacing w:after="0"/>
        <w:rPr>
          <w:rFonts w:cs="Times New Roman" w:eastAsia="Times New Roman"/>
          <w:lang w:eastAsia="hr-HR"/>
        </w:rPr>
      </w:pPr>
      <w:r w:rsidRPr="005250D4">
        <w:rPr>
          <w:rFonts w:cs="Times New Roman" w:eastAsia="Times New Roman"/>
          <w:lang w:eastAsia="hr-HR"/>
        </w:rPr>
        <w:t xml:space="preserve">                                                                       </w:t>
      </w:r>
      <w:r w:rsidRPr="005250D4">
        <w:rPr>
          <w:rFonts w:cs="Times New Roman" w:eastAsia="Times New Roman"/>
          <w:lang w:eastAsia="hr-HR"/>
        </w:rPr>
        <w:tab/>
        <w:t>Jadranka Mađeruh,v.r.</w:t>
      </w:r>
    </w:p>
    <w:p w:rsidRDefault="005250D4" w:rsidP="005250D4" w:rsidR="005250D4">
      <w:pPr>
        <w:tabs>
          <w:tab w:pos="6375" w:val="left"/>
        </w:tabs>
        <w:spacing w:after="0"/>
        <w:rPr>
          <w:rFonts w:cs="Times New Roman" w:eastAsia="Times New Roman"/>
          <w:lang w:eastAsia="hr-HR"/>
        </w:rPr>
      </w:pPr>
    </w:p>
    <w:p w:rsidRDefault="005250D4" w:rsidP="005250D4" w:rsidR="005250D4">
      <w:pPr>
        <w:tabs>
          <w:tab w:pos="6375" w:val="left"/>
        </w:tabs>
        <w:spacing w:after="0"/>
        <w:rPr>
          <w:rFonts w:cs="Times New Roman" w:eastAsia="Times New Roman"/>
          <w:lang w:eastAsia="hr-HR"/>
        </w:rPr>
      </w:pPr>
    </w:p>
    <w:p w:rsidRDefault="005250D4" w:rsidP="005250D4" w:rsidR="005250D4">
      <w:pPr>
        <w:tabs>
          <w:tab w:pos="6375" w:val="left"/>
        </w:tabs>
        <w:spacing w:after="0"/>
        <w:rPr>
          <w:rFonts w:cs="Times New Roman" w:eastAsia="Times New Roman"/>
          <w:lang w:eastAsia="hr-HR"/>
        </w:rPr>
      </w:pPr>
    </w:p>
    <w:p w:rsidRDefault="005250D4" w:rsidP="005250D4" w:rsidR="005250D4">
      <w:pPr>
        <w:tabs>
          <w:tab w:pos="6375" w:val="left"/>
        </w:tabs>
        <w:spacing w:after="0"/>
        <w:rPr>
          <w:rFonts w:cs="Times New Roman" w:eastAsia="Times New Roman"/>
          <w:lang w:eastAsia="hr-HR"/>
        </w:rPr>
      </w:pPr>
    </w:p>
    <w:p w:rsidRDefault="005250D4" w:rsidP="005250D4" w:rsidR="005250D4" w:rsidRPr="005250D4">
      <w:pPr>
        <w:tabs>
          <w:tab w:pos="6375" w:val="left"/>
        </w:tabs>
        <w:spacing w:after="0"/>
        <w:rPr>
          <w:rFonts w:cs="Times New Roman" w:eastAsia="Times New Roman"/>
          <w:lang w:eastAsia="hr-HR"/>
        </w:rPr>
      </w:pPr>
    </w:p>
    <w:p w:rsidRDefault="005250D4" w:rsidP="005250D4" w:rsidR="005250D4" w:rsidRPr="005250D4">
      <w:pPr>
        <w:tabs>
          <w:tab w:pos="6375" w:val="left"/>
        </w:tabs>
        <w:spacing w:after="0"/>
        <w:rPr>
          <w:rFonts w:cs="Times New Roman" w:eastAsia="Times New Roman"/>
          <w:lang w:eastAsia="hr-HR"/>
        </w:rPr>
      </w:pPr>
    </w:p>
    <w:p w:rsidRDefault="005250D4" w:rsidP="005250D4" w:rsidR="005250D4" w:rsidRPr="005250D4">
      <w:pPr>
        <w:tabs>
          <w:tab w:pos="6375" w:val="left"/>
        </w:tabs>
        <w:spacing w:after="0"/>
        <w:jc w:val="right"/>
        <w:rPr>
          <w:rFonts w:cs="Times New Roman" w:eastAsia="Times New Roman"/>
          <w:lang w:eastAsia="hr-HR"/>
        </w:rPr>
      </w:pPr>
      <w:r w:rsidRPr="005250D4">
        <w:rPr>
          <w:rFonts w:cs="Times New Roman" w:eastAsia="Times New Roman"/>
          <w:lang w:eastAsia="hr-HR"/>
        </w:rPr>
        <w:t>Za točnost otpravka-</w:t>
      </w:r>
    </w:p>
    <w:p w:rsidRDefault="005250D4" w:rsidP="005250D4" w:rsidR="005250D4" w:rsidRPr="005250D4">
      <w:pPr>
        <w:tabs>
          <w:tab w:pos="6375" w:val="left"/>
        </w:tabs>
        <w:spacing w:after="0"/>
        <w:jc w:val="right"/>
        <w:rPr>
          <w:rFonts w:cs="Times New Roman" w:eastAsia="Times New Roman"/>
          <w:lang w:eastAsia="hr-HR"/>
        </w:rPr>
      </w:pPr>
      <w:r w:rsidRPr="005250D4">
        <w:rPr>
          <w:rFonts w:cs="Times New Roman" w:eastAsia="Times New Roman"/>
          <w:lang w:eastAsia="hr-HR"/>
        </w:rPr>
        <w:t>ovlašteni službenik:</w:t>
      </w:r>
    </w:p>
    <w:p w:rsidRDefault="005250D4" w:rsidP="005250D4" w:rsidR="005250D4">
      <w:pPr>
        <w:tabs>
          <w:tab w:pos="6375" w:val="left"/>
        </w:tabs>
        <w:spacing w:after="0"/>
        <w:jc w:val="center"/>
        <w:rPr>
          <w:rFonts w:cs="Times New Roman" w:eastAsia="Times New Roman"/>
          <w:lang w:eastAsia="hr-HR"/>
        </w:rPr>
      </w:pPr>
      <w:r w:rsidRPr="005250D4">
        <w:rPr>
          <w:rFonts w:cs="Times New Roman" w:eastAsia="Times New Roman"/>
          <w:lang w:eastAsia="hr-HR"/>
        </w:rPr>
        <w:t xml:space="preserve">                                                                          </w:t>
      </w:r>
      <w:r w:rsidRPr="005250D4">
        <w:rPr>
          <w:rFonts w:cs="Times New Roman" w:eastAsia="Times New Roman"/>
          <w:lang w:eastAsia="hr-HR"/>
        </w:rPr>
        <w:tab/>
      </w:r>
      <w:r w:rsidRPr="005250D4">
        <w:rPr>
          <w:rFonts w:cs="Times New Roman" w:eastAsia="Times New Roman"/>
          <w:lang w:eastAsia="hr-HR"/>
        </w:rPr>
        <w:tab/>
        <w:t xml:space="preserve"> Draženka Prpić    </w:t>
      </w:r>
    </w:p>
    <w:p w:rsidRDefault="005250D4" w:rsidP="005250D4" w:rsidR="005250D4">
      <w:pPr>
        <w:tabs>
          <w:tab w:pos="6375" w:val="left"/>
        </w:tabs>
        <w:spacing w:after="0"/>
        <w:jc w:val="center"/>
        <w:rPr>
          <w:rFonts w:cs="Times New Roman" w:eastAsia="Times New Roman"/>
          <w:lang w:eastAsia="hr-HR"/>
        </w:rPr>
      </w:pPr>
    </w:p>
    <w:p w:rsidRDefault="005250D4" w:rsidP="005250D4" w:rsidR="005250D4" w:rsidRPr="005250D4">
      <w:pPr>
        <w:tabs>
          <w:tab w:pos="6375" w:val="left"/>
        </w:tabs>
        <w:spacing w:after="0"/>
        <w:jc w:val="center"/>
        <w:rPr>
          <w:rFonts w:cs="Times New Roman" w:eastAsia="Times New Roman"/>
          <w:lang w:eastAsia="hr-HR"/>
        </w:rPr>
      </w:pPr>
      <w:r w:rsidRPr="005250D4">
        <w:rPr>
          <w:rFonts w:cs="Times New Roman" w:eastAsia="Times New Roman"/>
          <w:lang w:eastAsia="hr-HR"/>
        </w:rPr>
        <w:t xml:space="preserve">  </w:t>
      </w:r>
    </w:p>
    <w:p w:rsidRDefault="005250D4" w:rsidP="005250D4" w:rsidR="005250D4" w:rsidRPr="005250D4">
      <w:pPr>
        <w:tabs>
          <w:tab w:pos="6375" w:val="left"/>
        </w:tabs>
        <w:spacing w:after="0"/>
        <w:rPr>
          <w:rFonts w:cs="Times New Roman" w:eastAsia="Times New Roman"/>
          <w:lang w:eastAsia="hr-HR"/>
        </w:rPr>
      </w:pPr>
      <w:r w:rsidRPr="005250D4">
        <w:rPr>
          <w:rFonts w:cs="Times New Roman" w:eastAsia="Times New Roman"/>
          <w:lang w:eastAsia="hr-HR"/>
        </w:rPr>
        <w:t>UPUTA O PRAVNOM LIJEKU:</w:t>
      </w:r>
    </w:p>
    <w:p w:rsidRDefault="005250D4" w:rsidP="005250D4" w:rsidR="005250D4" w:rsidRPr="005250D4">
      <w:pPr>
        <w:tabs>
          <w:tab w:pos="6375" w:val="left"/>
        </w:tabs>
        <w:spacing w:after="0"/>
        <w:jc w:val="both"/>
        <w:rPr>
          <w:rFonts w:cs="Times New Roman" w:eastAsia="Times New Roman"/>
          <w:lang w:eastAsia="hr-HR"/>
        </w:rPr>
      </w:pPr>
      <w:r w:rsidRPr="005250D4">
        <w:rPr>
          <w:rFonts w:cs="Times New Roman" w:eastAsia="Times New Roman"/>
          <w:lang w:eastAsia="hr-HR"/>
        </w:rPr>
        <w:t>Protiv ovog rješenja dopuštena je žalba. Žalba se podnosi ovom sudu u tri primjerka na Visoki trgovački sud RH u roku 8 dana od dana dostave rješenja.</w:t>
      </w:r>
    </w:p>
    <w:p w:rsidRDefault="005250D4" w:rsidP="005250D4" w:rsidR="005250D4" w:rsidRPr="005250D4">
      <w:pPr>
        <w:tabs>
          <w:tab w:pos="6375" w:val="left"/>
        </w:tabs>
        <w:spacing w:after="0"/>
        <w:rPr>
          <w:rFonts w:cs="Times New Roman" w:eastAsia="Times New Roman"/>
          <w:lang w:eastAsia="hr-HR"/>
        </w:rPr>
      </w:pPr>
      <w:r w:rsidRPr="005250D4">
        <w:rPr>
          <w:rFonts w:cs="Times New Roman" w:eastAsia="Times New Roman"/>
          <w:lang w:eastAsia="hr-HR"/>
        </w:rPr>
        <w:t xml:space="preserve">                                                                  </w:t>
      </w:r>
    </w:p>
    <w:p w:rsidRDefault="005250D4" w:rsidP="005250D4" w:rsidR="005250D4" w:rsidRPr="005250D4">
      <w:pPr>
        <w:tabs>
          <w:tab w:pos="6375" w:val="left"/>
        </w:tabs>
        <w:spacing w:after="0"/>
        <w:rPr>
          <w:rFonts w:cs="Times New Roman" w:eastAsia="Times New Roman"/>
          <w:lang w:eastAsia="hr-HR"/>
        </w:rPr>
      </w:pPr>
      <w:r w:rsidRPr="005250D4">
        <w:rPr>
          <w:rFonts w:cs="Times New Roman" w:eastAsia="Times New Roman"/>
          <w:lang w:eastAsia="hr-HR"/>
        </w:rPr>
        <w:t xml:space="preserve">Dna:                                   </w:t>
      </w:r>
    </w:p>
    <w:p w:rsidRDefault="005250D4" w:rsidP="005250D4" w:rsidR="005250D4" w:rsidRPr="005250D4">
      <w:pPr>
        <w:numPr>
          <w:ilvl w:val="0"/>
          <w:numId w:val="48"/>
        </w:numPr>
        <w:tabs>
          <w:tab w:pos="6885" w:val="left"/>
        </w:tabs>
        <w:spacing w:after="0"/>
        <w:rPr>
          <w:rFonts w:cs="Times New Roman" w:eastAsia="Times New Roman"/>
          <w:lang w:eastAsia="hr-HR"/>
        </w:rPr>
      </w:pPr>
      <w:r w:rsidRPr="005250D4">
        <w:rPr>
          <w:rFonts w:cs="Times New Roman" w:eastAsia="Times New Roman"/>
          <w:lang w:eastAsia="hr-HR"/>
        </w:rPr>
        <w:t xml:space="preserve">Stečajni upravitelj   </w:t>
      </w:r>
    </w:p>
    <w:p w:rsidRDefault="005250D4" w:rsidP="005250D4" w:rsidR="005250D4" w:rsidRPr="005250D4">
      <w:pPr>
        <w:numPr>
          <w:ilvl w:val="0"/>
          <w:numId w:val="48"/>
        </w:numPr>
        <w:tabs>
          <w:tab w:pos="6885" w:val="left"/>
        </w:tabs>
        <w:spacing w:after="0"/>
        <w:rPr>
          <w:rFonts w:cs="Times New Roman" w:eastAsia="Times New Roman"/>
          <w:lang w:eastAsia="hr-HR"/>
        </w:rPr>
      </w:pPr>
      <w:r w:rsidRPr="005250D4">
        <w:rPr>
          <w:rFonts w:cs="Times New Roman" w:eastAsia="Times New Roman"/>
          <w:lang w:eastAsia="hr-HR"/>
        </w:rPr>
        <w:t xml:space="preserve">e-oglasna ploča suda    </w:t>
      </w:r>
    </w:p>
    <w:p w:rsidRDefault="005250D4" w:rsidP="005250D4" w:rsidR="005250D4" w:rsidRPr="005250D4">
      <w:pPr>
        <w:numPr>
          <w:ilvl w:val="0"/>
          <w:numId w:val="48"/>
        </w:numPr>
        <w:spacing w:after="0"/>
        <w:rPr>
          <w:rFonts w:cs="Times New Roman" w:eastAsia="Times New Roman"/>
          <w:lang w:eastAsia="hr-HR"/>
        </w:rPr>
      </w:pPr>
      <w:r w:rsidRPr="005250D4">
        <w:rPr>
          <w:rFonts w:cs="Times New Roman" w:eastAsia="Times New Roman"/>
          <w:lang w:eastAsia="hr-HR"/>
        </w:rPr>
        <w:t>Spis</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763567"/>
      <w:docPartObj>
        <w:docPartGallery w:val="Page Numbers (Top of Page)"/>
        <w:docPartUnique/>
      </w:docPartObj>
    </w:sdtPr>
    <w:sdtContent>
      <w:p w:rsidRDefault="005250D4" w:rsidR="005250D4">
        <w:pPr>
          <w:pStyle w:val="Zaglavlje"/>
          <w:jc w:val="center"/>
        </w:pPr>
        <w:r>
          <w:fldChar w:fldCharType="begin"/>
        </w:r>
        <w:r>
          <w:instrText>PAGE   \* MERGEFORMAT</w:instrText>
        </w:r>
        <w:r>
          <w:fldChar w:fldCharType="separate"/>
        </w:r>
        <w:r>
          <w:t>1</w:t>
        </w:r>
        <w:r>
          <w:fldChar w:fldCharType="end"/>
        </w:r>
      </w:p>
    </w:sdtContent>
  </w:sdt>
  <w:p w:rsidRDefault="005250D4" w:rsidR="008333A9">
    <w:pPr>
      <w:pStyle w:val="Zaglavlje"/>
    </w:pPr>
    <w:r>
      <w:t>1 St-3379/2017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4356C3"/>
    <w:multiLevelType w:val="hybridMultilevel"/>
    <w:tmpl w:val="06F8B316"/>
    <w:lvl w:tplc="1A384EDE" w:ilvl="0">
      <w:start w:val="3"/>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1537927"/>
    <w:multiLevelType w:val="hybridMultilevel"/>
    <w:tmpl w:val="83EA4E6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50D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58255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2019.</izvorni_sadrzaj>
    <derivirana_varijabla naziv="DomainObject.DatumDonosenjaOdluke_1">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St-3379/2017-50</izvorni_sadrzaj>
    <derivirana_varijabla naziv="DomainObject.Oznaka_1">St-3379/2017-50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3379</izvorni_sadrzaj>
    <derivirana_varijabla naziv="DomainObject.Predmet.Broj_1">3379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St-3379/2017</izvorni_sadrzaj>
    <derivirana_varijabla naziv="DomainObject.Predmet.OznakaBroj_1">St-3379/2017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PINK AND PURPLE j.d.o.o., turistička agencija u stečaju zastupanog po punomoćniku Mark Matulović; Hrvoje Čipčić-Bragadin</izvorni_sadrzaj>
    <derivirana_varijabla naziv="DomainObject.Predmet.ProtustrankaFormated_1">  PINK AND PURPLE j.d.o.o., turistička agencija u stečaju zastupanog po punomoćniku Mark Matulović; Hrvoje Čipčić-Bragadin</derivirana_varijabla>
  </DomainObject.Predmet.ProtustrankaFormated>
  <DomainObject.Predmet.ProtustrankaFormatedOIB>
    <izvorni_sadrzaj>  PINK AND PURPLE j.d.o.o., turistička agencija u stečaju, OIB 41767223567 zastupanog po punomoćniku Mark Matulović; Hrvoje Čipčić-Bragadin</izvorni_sadrzaj>
    <derivirana_varijabla naziv="DomainObject.Predmet.ProtustrankaFormatedOIB_1">  PINK AND PURPLE j.d.o.o., turistička agencija u stečaju, OIB 41767223567 zastupanog po punomoćniku Mark Matulović; Hrvoje Čipčić-Bragadin</derivirana_varijabla>
  </DomainObject.Predmet.ProtustrankaFormatedOIB>
  <DomainObject.Predmet.ProtustrankaFormatedWithAdress>
    <izvorni_sadrzaj> PINK AND PURPLE j.d.o.o., turistička agencija u stečaju, Masarykova 15, 10000 Zagreb zastupanog po punomoćniku Mark Matulović; Hrvoje Čipčić-Bragadin</izvorni_sadrzaj>
    <derivirana_varijabla naziv="DomainObject.Predmet.ProtustrankaFormatedWithAdress_1"> PINK AND PURPLE j.d.o.o., turistička agencija u stečaju, Masarykova 15, 10000 Zagreb zastupanog po punomoćniku Mark Matulović; Hrvoje Čipčić-Bragadin</derivirana_varijabla>
  </DomainObject.Predmet.ProtustrankaFormatedWithAdress>
  <DomainObject.Predmet.ProtustrankaFormatedWithAdressOIB>
    <izvorni_sadrzaj> PINK AND PURPLE j.d.o.o., turistička agencija u stečaju, OIB 41767223567, Masarykova 15, 10000 Zagreb zastupanog po punomoćniku Mark Matulović; Hrvoje Čipčić-Bragadin</izvorni_sadrzaj>
    <derivirana_varijabla naziv="DomainObject.Predmet.ProtustrankaFormatedWithAdressOIB_1"> PINK AND PURPLE j.d.o.o., turistička agencija u stečaju, OIB 41767223567, Masarykova 15, 10000 Zagreb zastupanog po punomoćniku Mark Matulović; Hrvoje Čipčić-Bragadin</derivirana_varijabla>
  </DomainObject.Predmet.ProtustrankaFormatedWithAdressOIB>
  <DomainObject.Predmet.ProtustrankaWithAdress>
    <izvorni_sadrzaj>PINK AND PURPLE j.d.o.o., turistička agencija u stečaju Masarykova 15, 10000 Zagreb</izvorni_sadrzaj>
    <derivirana_varijabla naziv="DomainObject.Predmet.ProtustrankaWithAdress_1">PINK AND PURPLE j.d.o.o., turistička agencija u stečaju Masarykova 15, 10000 Zagreb</derivirana_varijabla>
  </DomainObject.Predmet.ProtustrankaWithAdress>
  <DomainObject.Predmet.ProtustrankaWithAdressOIB>
    <izvorni_sadrzaj>PINK AND PURPLE j.d.o.o., turistička agencija u stečaju, OIB 41767223567, Masarykova 15, 10000 Zagreb</izvorni_sadrzaj>
    <derivirana_varijabla naziv="DomainObject.Predmet.ProtustrankaWithAdressOIB_1">PINK AND PURPLE j.d.o.o., turistička agencija u stečaju, OIB 41767223567, Masarykova 15, 10000 Zagreb</derivirana_varijabla>
  </DomainObject.Predmet.ProtustrankaWithAdressOIB>
  <DomainObject.Predmet.ProtustrankaNazivFormated>
    <izvorni_sadrzaj>PINK AND PURPLE j.d.o.o., turistička agencija u stečaju</izvorni_sadrzaj>
    <derivirana_varijabla naziv="DomainObject.Predmet.ProtustrankaNazivFormated_1">PINK AND PURPLE j.d.o.o., turistička agencija u stečaju</derivirana_varijabla>
  </DomainObject.Predmet.ProtustrankaNazivFormated>
  <DomainObject.Predmet.ProtustrankaNazivFormatedOIB>
    <izvorni_sadrzaj>PINK AND PURPLE j.d.o.o., turistička agencija u stečaju, OIB 41767223567</izvorni_sadrzaj>
    <derivirana_varijabla naziv="DomainObject.Predmet.ProtustrankaNazivFormatedOIB_1">PINK AND PURPLE j.d.o.o., turistička agencija u stečaju, OIB 41767223567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PINK AND PURPLE j.d.o.o., turistička agencija u stečaju zastupanog po punomoćniku Mark Matulović; Hrvoje Čipčić-Bragadin</item>
    </izvorni_sadrzaj>
    <derivirana_varijabla naziv="DomainObject.Predmet.ProtuStrankaListFormated_1">
      <item>PINK AND PURPLE j.d.o.o., turistička agencija u stečaju zastupanog po punomoćniku Mark Matulović; Hrvoje Čipčić-Bragadin</item>
    </derivirana_varijabla>
  </DomainObject.Predmet.ProtuStrankaListFormated>
  <DomainObject.Predmet.ProtuStrankaListFormatedOIB>
    <izvorni_sadrzaj>
      <item>PINK AND PURPLE j.d.o.o., turistička agencija u stečaju, OIB 41767223567 zastupanog po punomoćniku Mark Matulović; Hrvoje Čipčić-Bragadin</item>
    </izvorni_sadrzaj>
    <derivirana_varijabla naziv="DomainObject.Predmet.ProtuStrankaListFormatedOIB_1">
      <item>PINK AND PURPLE j.d.o.o., turistička agencija u stečaju, OIB 41767223567 zastupanog po punomoćniku Mark Matulović; Hrvoje Čipčić-Bragadin</item>
    </derivirana_varijabla>
  </DomainObject.Predmet.ProtuStrankaListFormatedOIB>
  <DomainObject.Predmet.ProtuStrankaListFormatedWithAdress>
    <izvorni_sadrzaj>
      <item>PINK AND PURPLE j.d.o.o., turistička agencija u stečaju, Masarykova 15, 10000 Zagreb zastupanog po punomoćniku Mark Matulović; Hrvoje Čipčić-Bragadin</item>
    </izvorni_sadrzaj>
    <derivirana_varijabla naziv="DomainObject.Predmet.ProtuStrankaListFormatedWithAdress_1">
      <item>PINK AND PURPLE j.d.o.o., turistička agencija u stečaju, Masarykova 15, 10000 Zagreb zastupanog po punomoćniku Mark Matulović; Hrvoje Čipčić-Bragadin</item>
    </derivirana_varijabla>
  </DomainObject.Predmet.ProtuStrankaListFormatedWithAdress>
  <DomainObject.Predmet.ProtuStrankaListFormatedWithAdressOIB>
    <izvorni_sadrzaj>
      <item>PINK AND PURPLE j.d.o.o., turistička agencija u stečaju, OIB 41767223567, Masarykova 15, 10000 Zagreb zastupanog po punomoćniku Mark Matulović; Hrvoje Čipčić-Bragadin</item>
    </izvorni_sadrzaj>
    <derivirana_varijabla naziv="DomainObject.Predmet.ProtuStrankaListFormatedWithAdressOIB_1">
      <item>PINK AND PURPLE j.d.o.o., turistička agencija u stečaju, OIB 41767223567, Masarykova 15, 10000 Zagreb zastupanog po punomoćniku Mark Matulović; Hrvoje Čipčić-Bragadin</item>
    </derivirana_varijabla>
  </DomainObject.Predmet.ProtuStrankaListFormatedWithAdressOIB>
  <DomainObject.Predmet.ProtuStrankaListNazivFormated>
    <izvorni_sadrzaj>
      <item>PINK AND PURPLE j.d.o.o., turistička agencija u stečaju</item>
    </izvorni_sadrzaj>
    <derivirana_varijabla naziv="DomainObject.Predmet.ProtuStrankaListNazivFormated_1">
      <item>PINK AND PURPLE j.d.o.o., turistička agencija u stečaju</item>
    </derivirana_varijabla>
  </DomainObject.Predmet.ProtuStrankaListNazivFormated>
  <DomainObject.Predmet.ProtuStrankaListNazivFormatedOIB>
    <izvorni_sadrzaj>
      <item>PINK AND PURPLE j.d.o.o., turistička agencija u stečaju, OIB 41767223567</item>
    </izvorni_sadrzaj>
    <derivirana_varijabla naziv="DomainObject.Predmet.ProtuStrankaListNazivFormatedOIB_1">
      <item>PINK AND PURPLE j.d.o.o., turistička agencija u stečaju, OIB 41767223567</item>
    </derivirana_varijabla>
  </DomainObject.Predmet.ProtuStrankaListNazivFormatedOIB>
  <DomainObject.Predmet.OstaliListFormated>
    <izvorni_sadrzaj>
      <item>Mark Matulović punomoćnik sudionika u postupku PINK AND PURPLE j.d.o.o., turistička agencija u stečaju</item>
      <item>Hrvoje Čipčić-Bragadin punomoćnik sudionika u postupku PINK AND PURPLE j.d.o.o., turistička agencija u stečaju</item>
    </izvorni_sadrzaj>
    <derivirana_varijabla naziv="DomainObject.Predmet.OstaliListFormated_1">
      <item>Mark Matulović punomoćnik sudionika u postupku PINK AND PURPLE j.d.o.o., turistička agencija u stečaju</item>
      <item>Hrvoje Čipčić-Bragadin punomoćnik sudionika u postupku PINK AND PURPLE j.d.o.o., turistička agencija u stečaju</item>
    </derivirana_varijabla>
  </DomainObject.Predmet.OstaliListFormated>
  <DomainObject.Predmet.OstaliListFormatedOIB>
    <izvorni_sadrzaj>
      <item>Mark Matulović, OIB 64721299127 punomoćnik sudionika u postupku PINK AND PURPLE j.d.o.o., turistička agencija u stečaju</item>
      <item>Hrvoje Čipčić-Bragadin, OIB 54664943330 punomoćnik sudionika u postupku PINK AND PURPLE j.d.o.o., turistička agencija u stečaju</item>
    </izvorni_sadrzaj>
    <derivirana_varijabla naziv="DomainObject.Predmet.OstaliListFormatedOIB_1">
      <item>Mark Matulović, OIB 64721299127 punomoćnik sudionika u postupku PINK AND PURPLE j.d.o.o., turistička agencija u stečaju</item>
      <item>Hrvoje Čipčić-Bragadin, OIB 54664943330 punomoćnik sudionika u postupku PINK AND PURPLE j.d.o.o., turistička agencija u stečaju</item>
    </derivirana_varijabla>
  </DomainObject.Predmet.OstaliListFormatedOIB>
  <DomainObject.Predmet.OstaliListFormatedWithAdress>
    <izvorni_sadrzaj>
      <item>Mark Matulović, Severovačka 2, 10000 Zagreb punomoćnik sudionika u postupku PINK AND PURPLE j.d.o.o., turistička agencija u stečaju</item>
      <item>Hrvoje Čipčić-Bragadin, Masarykova 15, 10000 Zagreb punomoćnik sudionika u postupku PINK AND PURPLE j.d.o.o., turistička agencija u stečaju</item>
    </izvorni_sadrzaj>
    <derivirana_varijabla naziv="DomainObject.Predmet.OstaliListFormatedWithAdress_1">
      <item>Mark Matulović, Severovačka 2, 10000 Zagreb punomoćnik sudionika u postupku PINK AND PURPLE j.d.o.o., turistička agencija u stečaju</item>
      <item>Hrvoje Čipčić-Bragadin, Masarykova 15, 10000 Zagreb punomoćnik sudionika u postupku PINK AND PURPLE j.d.o.o., turistička agencija u stečaju</item>
    </derivirana_varijabla>
  </DomainObject.Predmet.OstaliListFormatedWithAdress>
  <DomainObject.Predmet.OstaliListFormatedWithAdressOIB>
    <izvorni_sadrzaj>
      <item>Mark Matulović, OIB 64721299127, Severovačka 2, 10000 Zagreb punomoćnik sudionika u postupku PINK AND PURPLE j.d.o.o., turistička agencija u stečaju</item>
      <item>Hrvoje Čipčić-Bragadin, OIB 54664943330, Masarykova 15, 10000 Zagreb punomoćnik sudionika u postupku PINK AND PURPLE j.d.o.o., turistička agencija u stečaju</item>
    </izvorni_sadrzaj>
    <derivirana_varijabla naziv="DomainObject.Predmet.OstaliListFormatedWithAdressOIB_1">
      <item>Mark Matulović, OIB 64721299127, Severovačka 2, 10000 Zagreb punomoćnik sudionika u postupku PINK AND PURPLE j.d.o.o., turistička agencija u stečaju</item>
      <item>Hrvoje Čipčić-Bragadin, OIB 54664943330, Masarykova 15, 10000 Zagreb punomoćnik sudionika u postupku PINK AND PURPLE j.d.o.o., turistička agencija u stečaju</item>
    </derivirana_varijabla>
  </DomainObject.Predmet.OstaliListFormatedWithAdressOIB>
  <DomainObject.Predmet.OstaliListNazivFormated>
    <izvorni_sadrzaj>
      <item>Mark Matulović</item>
      <item>Hrvoje Čipčić-Bragadin</item>
    </izvorni_sadrzaj>
    <derivirana_varijabla naziv="DomainObject.Predmet.OstaliListNazivFormated_1">
      <item>Mark Matulović</item>
      <item>Hrvoje Čipčić-Bragadin</item>
    </derivirana_varijabla>
  </DomainObject.Predmet.OstaliListNazivFormated>
  <DomainObject.Predmet.OstaliListNazivFormatedOIB>
    <izvorni_sadrzaj>
      <item>Mark Matulović, OIB 64721299127</item>
      <item>Hrvoje Čipčić-Bragadin, OIB 54664943330</item>
    </izvorni_sadrzaj>
    <derivirana_varijabla naziv="DomainObject.Predmet.OstaliListNazivFormatedOIB_1">
      <item>Mark Matulović, OIB 64721299127</item>
      <item>Hrvoje Čipčić-Bragadin, OIB 54664943330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2019.</izvorni_sadrzaj>
    <derivirana_varijabla naziv="DomainObject.Datum_1">14. lipnja 2019.</derivirana_varijabla>
  </DomainObject.Datum>
  <DomainObject.PoslovniBrojDokumenta>
    <izvorni_sadrzaj>St-3379/2017-50</izvorni_sadrzaj>
    <derivirana_varijabla naziv="DomainObject.PoslovniBrojDokumenta_1">St-3379/2017-50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PINK AND PURPLE j.d.o.o., turistička agencija u stečaju</izvorni_sadrzaj>
    <derivirana_varijabla naziv="DomainObject.Predmet.ProtustrankaIDrugi_1">PINK AND PURPLE j.d.o.o., turistička agencija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PINK AND PURPLE j.d.o.o., turistička agencija u stečaju, OIB 41767223567, Masarykova 15, 10000 Zagreb</izvorni_sadrzaj>
    <derivirana_varijabla naziv="DomainObject.Predmet.ProtustrankaIDrugiAdressOIB_1">PINK AND PURPLE j.d.o.o., turistička agencija u stečaju, OIB 41767223567, Masarykova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PINK AND PURPLE j.d.o.o., turistička agencija u stečaju</item>
      <item>Mark Matulović</item>
      <item>Hrvoje Čipčić-Bragadin</item>
    </izvorni_sadrzaj>
    <derivirana_varijabla naziv="DomainObject.Predmet.SudioniciListNaziv_1">
      <item>FINA Regionalni centar Zagreb</item>
      <item>PINK AND PURPLE j.d.o.o., turistička agencija u stečaju</item>
      <item>Mark Matulović</item>
      <item>Hrvoje Čipčić-Bragadin</item>
    </derivirana_varijabla>
  </DomainObject.Predmet.SudioniciListNaziv>
  <DomainObject.Predmet.SudioniciListAdressOIB>
    <izvorni_sadrzaj>
      <item>FINA Regionalni centar Zagreb, OIB 85821130368, Trg svibanjskih žrtava 1995. br. 1,10000 Zagreb</item>
      <item>PINK AND PURPLE j.d.o.o., turistička agencija u stečaju, OIB 41767223567, Masarykova 15,10000 Zagreb</item>
      <item>Mark Matulović, OIB 64721299127, Severovačka 2,10000 Zagreb</item>
      <item>Hrvoje Čipčić-Bragadin, OIB 54664943330, Masarykova 15,10000 Zagreb</item>
    </izvorni_sadrzaj>
    <derivirana_varijabla naziv="DomainObject.Predmet.SudioniciListAdressOIB_1">
      <item>FINA Regionalni centar Zagreb, OIB 85821130368, Trg svibanjskih žrtava 1995. br. 1,10000 Zagreb</item>
      <item>PINK AND PURPLE j.d.o.o., turistička agencija u stečaju, OIB 41767223567, Masarykova 15,10000 Zagreb</item>
      <item>Mark Matulović, OIB 64721299127, Severovačka 2,10000 Zagreb</item>
      <item>Hrvoje Čipčić-Bragadin, OIB 54664943330, Masarykova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D480C1-CF57-490D-8C13-6AE251295E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2773</properties:Words>
  <properties:Characters>15875</properties:Characters>
  <properties:Lines>287</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18909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2019-06-14T07:55:00Z</cp:lastPrinted>
  <dcterms:modified xmlns:xsi="http://www.w3.org/2001/XMLSchema-instance" xsi:type="dcterms:W3CDTF">2019-06-14T07:55:00Z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St-3379/2017-50 / Odluka - Rješenje - ukidanje odluka skupštine /odbora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