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c168" w14:paraId="3b3c168"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460498" w:rsidP="00460498" w:rsidR="00460498" w:rsidRPr="007A6D47">
      <w:pPr>
        <w:rPr>
          <w:b/>
          <w:sz w:val="20"/>
          <w:szCs w:val="20"/>
        </w:rPr>
      </w:pPr>
    </w:p>
    <w:p w:rsidRDefault="00460498" w:rsidP="00460498" w:rsidR="00460498">
      <w:pPr>
        <w:jc w:val="right"/>
        <w:rPr>
          <w:b/>
          <w:sz w:val="22"/>
          <w:szCs w:val="22"/>
        </w:rPr>
      </w:pPr>
      <w:r w:rsidRPr="00DA4373">
        <w:rPr>
          <w:b/>
          <w:sz w:val="22"/>
          <w:szCs w:val="22"/>
        </w:rPr>
        <w:t>Posl. br. 6-St.</w:t>
      </w:r>
      <w:r w:rsidR="008659E5">
        <w:rPr>
          <w:b/>
          <w:sz w:val="22"/>
          <w:szCs w:val="22"/>
        </w:rPr>
        <w:t>53</w:t>
      </w:r>
      <w:r w:rsidRPr="00DA4373">
        <w:rPr>
          <w:b/>
          <w:sz w:val="22"/>
          <w:szCs w:val="22"/>
        </w:rPr>
        <w:t>/201</w:t>
      </w:r>
      <w:r w:rsidR="008659E5">
        <w:rPr>
          <w:b/>
          <w:sz w:val="22"/>
          <w:szCs w:val="22"/>
        </w:rPr>
        <w:t>1</w:t>
      </w:r>
      <w:r>
        <w:rPr>
          <w:b/>
          <w:sz w:val="22"/>
          <w:szCs w:val="22"/>
        </w:rPr>
        <w:t>-</w:t>
      </w:r>
      <w:r w:rsidR="008659E5">
        <w:rPr>
          <w:b/>
          <w:sz w:val="22"/>
          <w:szCs w:val="22"/>
        </w:rPr>
        <w:t>2177</w:t>
      </w:r>
    </w:p>
    <w:p w:rsidRDefault="00460498" w:rsidP="00460498" w:rsidR="00460498">
      <w:pPr>
        <w:jc w:val="right"/>
        <w:rPr>
          <w:b/>
          <w:sz w:val="22"/>
          <w:szCs w:val="22"/>
        </w:rPr>
      </w:pPr>
    </w:p>
    <w:p w:rsidRDefault="00460498" w:rsidP="00460498" w:rsidR="00460498" w:rsidRPr="00476859">
      <w:pPr>
        <w:jc w:val="right"/>
        <w:rPr>
          <w:b/>
          <w:sz w:val="22"/>
          <w:szCs w:val="22"/>
        </w:rPr>
      </w:pPr>
    </w:p>
    <w:p w:rsidRDefault="00460498" w:rsidP="00460498" w:rsidR="00460498">
      <w:pPr>
        <w:jc w:val="center"/>
        <w:rPr>
          <w:b/>
          <w:sz w:val="22"/>
          <w:szCs w:val="22"/>
        </w:rPr>
      </w:pPr>
      <w:r w:rsidRPr="00476859">
        <w:rPr>
          <w:b/>
          <w:sz w:val="22"/>
          <w:szCs w:val="22"/>
        </w:rPr>
        <w:t xml:space="preserve">R </w:t>
      </w:r>
      <w:r>
        <w:rPr>
          <w:b/>
          <w:sz w:val="22"/>
          <w:szCs w:val="22"/>
        </w:rPr>
        <w:t>E P U B L I K A    H R V A T S K A</w:t>
      </w:r>
    </w:p>
    <w:p w:rsidRDefault="00460498" w:rsidP="00460498" w:rsidR="00460498">
      <w:pPr>
        <w:jc w:val="center"/>
        <w:rPr>
          <w:b/>
          <w:sz w:val="22"/>
          <w:szCs w:val="22"/>
        </w:rPr>
      </w:pPr>
    </w:p>
    <w:p w:rsidRDefault="00460498" w:rsidP="00460498" w:rsidR="00460498" w:rsidRPr="00476859">
      <w:pPr>
        <w:jc w:val="center"/>
        <w:rPr>
          <w:b/>
          <w:sz w:val="22"/>
          <w:szCs w:val="22"/>
        </w:rPr>
      </w:pPr>
      <w:r>
        <w:rPr>
          <w:b/>
          <w:sz w:val="22"/>
          <w:szCs w:val="22"/>
        </w:rPr>
        <w:t xml:space="preserve">R </w:t>
      </w:r>
      <w:r w:rsidRPr="00476859">
        <w:rPr>
          <w:b/>
          <w:sz w:val="22"/>
          <w:szCs w:val="22"/>
        </w:rPr>
        <w:t>J E Š E N J E</w:t>
      </w:r>
    </w:p>
    <w:p w:rsidRDefault="00460498" w:rsidP="00460498" w:rsidR="00460498" w:rsidRPr="00476859">
      <w:pPr>
        <w:jc w:val="center"/>
        <w:rPr>
          <w:b/>
          <w:sz w:val="22"/>
          <w:szCs w:val="22"/>
        </w:rPr>
      </w:pPr>
    </w:p>
    <w:p w:rsidRDefault="00460498" w:rsidP="00460498" w:rsidR="00881E11" w:rsidRPr="00881E11">
      <w:pPr>
        <w:jc w:val="both"/>
        <w:rPr>
          <w:sz w:val="22"/>
          <w:szCs w:val="22"/>
        </w:rPr>
      </w:pPr>
      <w:r w:rsidRPr="00476859">
        <w:rPr>
          <w:sz w:val="22"/>
          <w:szCs w:val="22"/>
        </w:rPr>
        <w:tab/>
        <w:t>Trgovački sud u Splitu, stalna služba u Dubrovniku, po stečajnom sucu tog suda Srđanu Gavraniću</w:t>
      </w:r>
      <w:r w:rsidRPr="007F01FC">
        <w:rPr>
          <w:sz w:val="22"/>
          <w:szCs w:val="22"/>
        </w:rPr>
        <w:t xml:space="preserve">, kao sucu pojedincu, </w:t>
      </w:r>
      <w:r>
        <w:rPr>
          <w:sz w:val="22"/>
          <w:szCs w:val="22"/>
        </w:rPr>
        <w:t xml:space="preserve">u stečajnom postupku nad dužnikom </w:t>
      </w:r>
      <w:r w:rsidR="008659E5" w:rsidRPr="00AB4538">
        <w:rPr>
          <w:sz w:val="22"/>
          <w:szCs w:val="22"/>
        </w:rPr>
        <w:t>GP DUBROVNIK, dioničko društvo za građevinarstvo i trgovinu "u stečaju" iz Dubrovnika, zastupano po stečajnom upravitelju Draganu Josipu Kneževiću iz Dubrovnika</w:t>
      </w:r>
      <w:r w:rsidR="00881E11" w:rsidRPr="00881E11">
        <w:rPr>
          <w:sz w:val="22"/>
          <w:szCs w:val="22"/>
        </w:rPr>
        <w:t xml:space="preserve">, </w:t>
      </w:r>
      <w:r w:rsidR="008659E5">
        <w:rPr>
          <w:sz w:val="22"/>
          <w:szCs w:val="22"/>
        </w:rPr>
        <w:t>dana 4</w:t>
      </w:r>
      <w:r w:rsidR="00881E11" w:rsidRPr="00816C9D">
        <w:rPr>
          <w:sz w:val="22"/>
          <w:szCs w:val="22"/>
        </w:rPr>
        <w:t xml:space="preserve">. </w:t>
      </w:r>
      <w:r w:rsidR="008659E5">
        <w:rPr>
          <w:sz w:val="22"/>
          <w:szCs w:val="22"/>
        </w:rPr>
        <w:t>prosinc</w:t>
      </w:r>
      <w:r w:rsidR="00881E11" w:rsidRPr="00881E11">
        <w:rPr>
          <w:sz w:val="22"/>
          <w:szCs w:val="22"/>
        </w:rPr>
        <w:t xml:space="preserve"> 2015. godine</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B60415" w:rsidP="00B60415" w:rsidR="00B60415" w:rsidRPr="00B60415">
      <w:pPr>
        <w:numPr>
          <w:ilvl w:val="0"/>
          <w:numId w:val="4"/>
        </w:numPr>
        <w:jc w:val="both"/>
        <w:rPr>
          <w:sz w:val="22"/>
          <w:szCs w:val="22"/>
        </w:rPr>
      </w:pPr>
      <w:r w:rsidRPr="00B60415">
        <w:rPr>
          <w:sz w:val="22"/>
          <w:szCs w:val="22"/>
        </w:rPr>
        <w:t>Određuje se</w:t>
      </w:r>
      <w:r w:rsidR="00CF2FC7">
        <w:rPr>
          <w:sz w:val="22"/>
          <w:szCs w:val="22"/>
        </w:rPr>
        <w:t xml:space="preserve"> daljnja</w:t>
      </w:r>
      <w:r w:rsidRPr="00B60415">
        <w:rPr>
          <w:sz w:val="22"/>
          <w:szCs w:val="22"/>
        </w:rPr>
        <w:t xml:space="preserve"> nagrada </w:t>
      </w:r>
      <w:r w:rsidR="008659E5">
        <w:rPr>
          <w:sz w:val="22"/>
          <w:szCs w:val="22"/>
        </w:rPr>
        <w:t xml:space="preserve">Draganu Josipu Kneževiću </w:t>
      </w:r>
      <w:r w:rsidR="00DE7A36" w:rsidRPr="002E3679">
        <w:rPr>
          <w:sz w:val="22"/>
          <w:szCs w:val="22"/>
        </w:rPr>
        <w:t xml:space="preserve">iz </w:t>
      </w:r>
      <w:r w:rsidR="008659E5">
        <w:rPr>
          <w:sz w:val="22"/>
          <w:szCs w:val="22"/>
        </w:rPr>
        <w:t xml:space="preserve">Dubrovnika </w:t>
      </w:r>
      <w:r w:rsidR="00DE7A36">
        <w:rPr>
          <w:sz w:val="22"/>
          <w:szCs w:val="22"/>
        </w:rPr>
        <w:t xml:space="preserve"> </w:t>
      </w:r>
      <w:r w:rsidR="00A525EF" w:rsidRPr="00A525EF">
        <w:rPr>
          <w:sz w:val="22"/>
          <w:szCs w:val="22"/>
        </w:rPr>
        <w:t xml:space="preserve">za obavljene poslove stečajnog upravitelja u </w:t>
      </w:r>
      <w:r w:rsidR="00460498">
        <w:rPr>
          <w:sz w:val="22"/>
          <w:szCs w:val="22"/>
        </w:rPr>
        <w:t xml:space="preserve">ovom stečajnom </w:t>
      </w:r>
      <w:r w:rsidR="00A525EF" w:rsidRPr="00A525EF">
        <w:rPr>
          <w:sz w:val="22"/>
          <w:szCs w:val="22"/>
        </w:rPr>
        <w:t xml:space="preserve">postupku u iznosu od </w:t>
      </w:r>
      <w:r w:rsidR="009E0F4E">
        <w:rPr>
          <w:sz w:val="22"/>
          <w:szCs w:val="22"/>
        </w:rPr>
        <w:t>20.000,00</w:t>
      </w:r>
      <w:r w:rsidR="000B668B">
        <w:rPr>
          <w:sz w:val="22"/>
          <w:szCs w:val="22"/>
        </w:rPr>
        <w:t xml:space="preserve"> kuna </w:t>
      </w:r>
      <w:r w:rsidR="009E0F4E">
        <w:rPr>
          <w:sz w:val="22"/>
          <w:szCs w:val="22"/>
        </w:rPr>
        <w:t>neto</w:t>
      </w:r>
      <w:r w:rsidRPr="00B60415">
        <w:rPr>
          <w:sz w:val="22"/>
          <w:szCs w:val="22"/>
        </w:rPr>
        <w:t>.</w:t>
      </w:r>
    </w:p>
    <w:p w:rsidRDefault="00B60415" w:rsidP="00B60415" w:rsidR="00B60415" w:rsidRPr="00B60415">
      <w:pPr>
        <w:jc w:val="both"/>
        <w:rPr>
          <w:sz w:val="22"/>
          <w:szCs w:val="22"/>
        </w:rPr>
      </w:pPr>
    </w:p>
    <w:p w:rsidRDefault="000B668B" w:rsidP="00B60415" w:rsidR="00B60415">
      <w:pPr>
        <w:numPr>
          <w:ilvl w:val="0"/>
          <w:numId w:val="4"/>
        </w:numPr>
        <w:jc w:val="both"/>
        <w:rPr>
          <w:sz w:val="22"/>
          <w:szCs w:val="22"/>
        </w:rPr>
      </w:pPr>
      <w:r>
        <w:rPr>
          <w:sz w:val="22"/>
          <w:szCs w:val="22"/>
        </w:rPr>
        <w:t>Isplata se može izvršiti nakon pravomoćnosti ovog rješenja.</w:t>
      </w:r>
      <w:r w:rsidR="00B60415" w:rsidRPr="00B60415">
        <w:rPr>
          <w:sz w:val="22"/>
          <w:szCs w:val="22"/>
        </w:rPr>
        <w:t>.</w:t>
      </w:r>
    </w:p>
    <w:p w:rsidRDefault="00FE0E35" w:rsidP="00FE0E35" w:rsidR="00FE0E35">
      <w:pPr>
        <w:pStyle w:val="Odlomakpopisa"/>
        <w:rPr>
          <w:sz w:val="22"/>
          <w:szCs w:val="22"/>
        </w:rPr>
      </w:pPr>
    </w:p>
    <w:p w:rsidRDefault="00322C92" w:rsidP="00B60415" w:rsidR="00322C92" w:rsidRPr="00B60415">
      <w:pPr>
        <w:jc w:val="both"/>
        <w:rPr>
          <w:sz w:val="16"/>
          <w:szCs w:val="16"/>
        </w:rPr>
      </w:pPr>
    </w:p>
    <w:p w:rsidRDefault="00B60415" w:rsidP="00B60415" w:rsidR="00B60415" w:rsidRPr="00B60415">
      <w:pPr>
        <w:jc w:val="center"/>
        <w:rPr>
          <w:b/>
          <w:sz w:val="22"/>
          <w:szCs w:val="22"/>
        </w:rPr>
      </w:pPr>
      <w:r w:rsidRPr="00B60415">
        <w:rPr>
          <w:b/>
          <w:sz w:val="22"/>
          <w:szCs w:val="22"/>
        </w:rPr>
        <w:t>Obrazloženje</w:t>
      </w:r>
    </w:p>
    <w:p w:rsidRDefault="00B60415" w:rsidP="00B60415" w:rsidR="00B60415" w:rsidRPr="00B60415">
      <w:pPr>
        <w:jc w:val="center"/>
        <w:rPr>
          <w:b/>
          <w:sz w:val="22"/>
          <w:szCs w:val="22"/>
        </w:rPr>
      </w:pPr>
    </w:p>
    <w:p w:rsidRDefault="00B60415" w:rsidP="00B60415" w:rsidR="009E0F4E">
      <w:pPr>
        <w:jc w:val="both"/>
        <w:rPr>
          <w:sz w:val="22"/>
          <w:szCs w:val="22"/>
        </w:rPr>
      </w:pPr>
      <w:r w:rsidRPr="00B60415">
        <w:rPr>
          <w:sz w:val="22"/>
          <w:szCs w:val="22"/>
        </w:rPr>
        <w:tab/>
      </w:r>
      <w:r w:rsidR="000B668B">
        <w:rPr>
          <w:sz w:val="22"/>
          <w:szCs w:val="22"/>
        </w:rPr>
        <w:t>S</w:t>
      </w:r>
      <w:r w:rsidR="000204AC">
        <w:rPr>
          <w:sz w:val="22"/>
          <w:szCs w:val="22"/>
        </w:rPr>
        <w:t>t</w:t>
      </w:r>
      <w:r w:rsidRPr="00B60415">
        <w:rPr>
          <w:sz w:val="22"/>
          <w:szCs w:val="22"/>
        </w:rPr>
        <w:t xml:space="preserve">ečajni upravitelj je podnio ovom sudu </w:t>
      </w:r>
      <w:r w:rsidR="00DE7A36">
        <w:rPr>
          <w:sz w:val="22"/>
          <w:szCs w:val="22"/>
        </w:rPr>
        <w:t>3</w:t>
      </w:r>
      <w:r w:rsidRPr="00B60415">
        <w:rPr>
          <w:sz w:val="22"/>
          <w:szCs w:val="22"/>
        </w:rPr>
        <w:t xml:space="preserve">. </w:t>
      </w:r>
      <w:r w:rsidR="00CF2FC7">
        <w:rPr>
          <w:sz w:val="22"/>
          <w:szCs w:val="22"/>
        </w:rPr>
        <w:t xml:space="preserve">prosinca </w:t>
      </w:r>
      <w:r w:rsidR="00BF2FAE">
        <w:rPr>
          <w:sz w:val="22"/>
          <w:szCs w:val="22"/>
        </w:rPr>
        <w:t>2015. godine</w:t>
      </w:r>
      <w:r w:rsidRPr="00B60415">
        <w:rPr>
          <w:sz w:val="22"/>
          <w:szCs w:val="22"/>
        </w:rPr>
        <w:t xml:space="preserve"> prijedlog za određivanje nagrade za rad u ovom stečajnom postupku</w:t>
      </w:r>
      <w:r w:rsidR="009E0F4E">
        <w:rPr>
          <w:sz w:val="22"/>
          <w:szCs w:val="22"/>
        </w:rPr>
        <w:t xml:space="preserve"> za vrijeme od jedne godine dana od listopada 2014. godine prema Uredbi o kriterijima i načinu obračuna i plaćanja nagrada stečajnim upraviteljima (NN 189/03)</w:t>
      </w:r>
      <w:r w:rsidR="00C50D60">
        <w:rPr>
          <w:sz w:val="22"/>
          <w:szCs w:val="22"/>
        </w:rPr>
        <w:t>.</w:t>
      </w:r>
    </w:p>
    <w:p w:rsidRDefault="00C50D60" w:rsidP="00B60415" w:rsidR="00C50D60">
      <w:pPr>
        <w:jc w:val="both"/>
        <w:rPr>
          <w:sz w:val="22"/>
          <w:szCs w:val="22"/>
        </w:rPr>
      </w:pPr>
    </w:p>
    <w:p w:rsidRDefault="00C50D60" w:rsidP="008F4410" w:rsidR="00C50D60" w:rsidRPr="00C50D60">
      <w:pPr>
        <w:ind w:firstLine="708"/>
        <w:jc w:val="both"/>
        <w:rPr>
          <w:sz w:val="22"/>
          <w:szCs w:val="22"/>
        </w:rPr>
      </w:pPr>
      <w:r w:rsidRPr="00C50D60">
        <w:rPr>
          <w:sz w:val="22"/>
          <w:szCs w:val="22"/>
        </w:rPr>
        <w:t xml:space="preserve">Temeljem čl. 29. Stečajnog zakona (NN 44/96, 29/99, 129/00, 123/03, 197/03, 82/06, 116/10, 25/12, 133/12, dalje u tekstu: SZ), nagradu stečajnom upravitelju rješenjem određuje stečajni sudac </w:t>
      </w:r>
      <w:r w:rsidR="000E4DC2" w:rsidRPr="00C50D60">
        <w:rPr>
          <w:sz w:val="22"/>
          <w:szCs w:val="22"/>
        </w:rPr>
        <w:t>u vrijeme zaključenja stečajnog postupka, ali stečajni sudac može kada za to postoje naročito opravdani tijekom stečajnog postupka odobravati predujmove nagrade stečajnom upravitelju</w:t>
      </w:r>
      <w:r w:rsidR="000E4DC2">
        <w:rPr>
          <w:sz w:val="22"/>
          <w:szCs w:val="22"/>
        </w:rPr>
        <w:t xml:space="preserve">, </w:t>
      </w:r>
      <w:r w:rsidRPr="00C50D60">
        <w:rPr>
          <w:sz w:val="22"/>
          <w:szCs w:val="22"/>
        </w:rPr>
        <w:t xml:space="preserve">prema posebnom propisu kojim se utvrđuju kriteriji i način obračuna i plaćanja nagrade stečajnim upraviteljima. </w:t>
      </w:r>
      <w:r w:rsidR="000E4DC2">
        <w:rPr>
          <w:sz w:val="22"/>
          <w:szCs w:val="22"/>
        </w:rPr>
        <w:t>Sukladno</w:t>
      </w:r>
      <w:r w:rsidRPr="00C50D60">
        <w:rPr>
          <w:sz w:val="22"/>
          <w:szCs w:val="22"/>
        </w:rPr>
        <w:t xml:space="preserve"> Uredbi o kriterijima i načinu obračuna i plaćanja nagrada stečajnim upraviteljima visina nagrade (NN 105/15, dalje u tekstu Uredba 2015) za rad koji je obavljen do stupanja na snagu ove Uredbe 2015, nagrada će se obračunati po pravilima Uredbe o kriterijima i načinu obračuna i plaćanja nagrada stečajnim upraviteljima (NN 189/03, dalje u tekstu: Uredba).</w:t>
      </w:r>
      <w:r w:rsidR="008F4410">
        <w:rPr>
          <w:sz w:val="22"/>
          <w:szCs w:val="22"/>
        </w:rPr>
        <w:t xml:space="preserve"> Prema Uredbi u </w:t>
      </w:r>
      <w:r w:rsidRPr="00C50D60">
        <w:rPr>
          <w:sz w:val="22"/>
          <w:szCs w:val="22"/>
        </w:rPr>
        <w:t>slučajevima kada se postupak unovčenja imovine stečajnog dužnika, nije mogao zbog naročito opravdanih razloga dovršiti u zakonom rokovima propisanom roku od godinu i pol dana, a do tada je ostvareno pravo na maksimalan iznos nagrade od 300.000,00 kuna, stečajnom upravitelju može se odrediti daljnja nagrada za razdoblje nakon isteka zakonom propisanog roka, pa do zaključenja stečajnog postupka koja ne može prijeći iznos od 20.000,00 kuna godišnje.</w:t>
      </w:r>
    </w:p>
    <w:p w:rsidRDefault="00C50D60" w:rsidP="00C50D60" w:rsidR="00C50D60" w:rsidRPr="00C50D60">
      <w:pPr>
        <w:jc w:val="both"/>
        <w:rPr>
          <w:sz w:val="22"/>
          <w:szCs w:val="22"/>
        </w:rPr>
      </w:pPr>
    </w:p>
    <w:p w:rsidRDefault="00C50D60" w:rsidP="008F4410" w:rsidR="00C50D60" w:rsidRPr="00C50D60">
      <w:pPr>
        <w:ind w:firstLine="708"/>
        <w:jc w:val="both"/>
        <w:rPr>
          <w:sz w:val="22"/>
          <w:szCs w:val="22"/>
        </w:rPr>
      </w:pPr>
      <w:r w:rsidRPr="00C50D60">
        <w:rPr>
          <w:sz w:val="22"/>
          <w:szCs w:val="22"/>
        </w:rPr>
        <w:lastRenderedPageBreak/>
        <w:t>Predmetni stečajni postupak je izuzetno složen stečajni postupak sa značajnom imovinom stečajnog dužnika koja je procijenjena na iz</w:t>
      </w:r>
      <w:r w:rsidR="00C56BE9">
        <w:rPr>
          <w:sz w:val="22"/>
          <w:szCs w:val="22"/>
        </w:rPr>
        <w:t xml:space="preserve">nos od preko 160.000.000,00 kuna i </w:t>
      </w:r>
      <w:r w:rsidRPr="00C50D60">
        <w:rPr>
          <w:sz w:val="22"/>
          <w:szCs w:val="22"/>
        </w:rPr>
        <w:t xml:space="preserve">traje preko 1,5 godine, bez krivnje stečajnog upravitelja, budući se radi o velikoj imovini koja, unatoč angažiranju stečajnog upravitelja, brojnim dražbama i pokušajima prodaje, nije u cijelosti unovčena zbog nedostatka interesa za kupnju. Unatoč svemu, do sada je unovčen velik dio imovine, izvršeno je </w:t>
      </w:r>
      <w:r w:rsidR="00F64480">
        <w:rPr>
          <w:sz w:val="22"/>
          <w:szCs w:val="22"/>
        </w:rPr>
        <w:t>p</w:t>
      </w:r>
      <w:r w:rsidR="00F64480" w:rsidRPr="00D150BA">
        <w:rPr>
          <w:sz w:val="22"/>
          <w:szCs w:val="22"/>
        </w:rPr>
        <w:t>et</w:t>
      </w:r>
      <w:r w:rsidR="00D150BA" w:rsidRPr="00D150BA">
        <w:rPr>
          <w:sz w:val="22"/>
          <w:szCs w:val="22"/>
        </w:rPr>
        <w:t xml:space="preserve"> </w:t>
      </w:r>
      <w:r w:rsidRPr="00D150BA">
        <w:rPr>
          <w:sz w:val="22"/>
          <w:szCs w:val="22"/>
        </w:rPr>
        <w:t>djelomičnih</w:t>
      </w:r>
      <w:r w:rsidR="00D150BA" w:rsidRPr="00D150BA">
        <w:rPr>
          <w:sz w:val="22"/>
          <w:szCs w:val="22"/>
        </w:rPr>
        <w:t xml:space="preserve"> diobi</w:t>
      </w:r>
      <w:r w:rsidRPr="00D150BA">
        <w:rPr>
          <w:sz w:val="22"/>
          <w:szCs w:val="22"/>
        </w:rPr>
        <w:t xml:space="preserve"> </w:t>
      </w:r>
      <w:r w:rsidR="00F64480" w:rsidRPr="00D150BA">
        <w:rPr>
          <w:sz w:val="22"/>
          <w:szCs w:val="22"/>
        </w:rPr>
        <w:t>i preko trideset diobi kupovnine</w:t>
      </w:r>
      <w:r w:rsidR="00F64480">
        <w:rPr>
          <w:sz w:val="22"/>
          <w:szCs w:val="22"/>
          <w:u w:val="single"/>
        </w:rPr>
        <w:t xml:space="preserve"> </w:t>
      </w:r>
      <w:r w:rsidRPr="00C50D60">
        <w:rPr>
          <w:sz w:val="22"/>
          <w:szCs w:val="22"/>
        </w:rPr>
        <w:t xml:space="preserve">kroz koje su osim razlučnih vjerovnika namirene tražbine vjerovnika prvog višeg isplatnog reda u visini od </w:t>
      </w:r>
      <w:r w:rsidR="00F64480">
        <w:rPr>
          <w:sz w:val="22"/>
          <w:szCs w:val="22"/>
        </w:rPr>
        <w:t>81</w:t>
      </w:r>
      <w:r w:rsidRPr="00C50D60">
        <w:rPr>
          <w:sz w:val="22"/>
          <w:szCs w:val="22"/>
        </w:rPr>
        <w:t xml:space="preserve">%, prikupljena je i unovčena imovina koja se u vrijeme otvaranja stečajnog postupka nalazila se na više mjesta (gradilišta) diljem države, riješena su jamstva za koja su izdana sredstva osiguranja za otklanjanje nedostataka u jamstvenom roku, riješen je velik broj postupaka pred sudom i drugim tijelima, obavljan je ogroman drugi svakodnevni posao. Iz stanja spisa i tijeka stečajnog postupka očito je da je stečajni upravitelj nema bilo kakvog utjecaja na trajanje ovog stečajnog postupka, budući se isti unatoč velikom </w:t>
      </w:r>
      <w:r w:rsidR="00D150BA">
        <w:rPr>
          <w:sz w:val="22"/>
          <w:szCs w:val="22"/>
        </w:rPr>
        <w:t xml:space="preserve">radu i </w:t>
      </w:r>
      <w:r w:rsidRPr="00C50D60">
        <w:rPr>
          <w:sz w:val="22"/>
          <w:szCs w:val="22"/>
        </w:rPr>
        <w:t>zalaganju stečajnog upravitelja kroz proteklo vrijeme nije mogao završiti. Zbog svega navedenog, vodeći računa o rješenju ovog suda posl. br. 6-St.53/2011-1129 od 27. listopada 2011. godine, te o tome da nakon proteka 1,5 godine od otvaranja stečajnog postupka stečajni upravitelj ima pravo na nagradu koja ne može biti veća od 20.000,00 kuna godišnje, a da je rok od 1,5 godine istekao 31. kolovoza 2011.godine, kao i o brojnosti i složenosti poslova koje stečajni upravitel</w:t>
      </w:r>
      <w:r w:rsidR="00031A8D">
        <w:rPr>
          <w:sz w:val="22"/>
          <w:szCs w:val="22"/>
        </w:rPr>
        <w:t>j u ovom stečajnom postupku</w:t>
      </w:r>
      <w:r w:rsidRPr="00C50D60">
        <w:rPr>
          <w:sz w:val="22"/>
          <w:szCs w:val="22"/>
        </w:rPr>
        <w:t xml:space="preserve"> obavlja, trudu, nastojanju i ažurnosti stečajnog upravitelja, te rezultatima njegova rada</w:t>
      </w:r>
      <w:r w:rsidR="00BF4ABF">
        <w:rPr>
          <w:sz w:val="22"/>
          <w:szCs w:val="22"/>
        </w:rPr>
        <w:t xml:space="preserve"> kroz proteklih godinu dana od listopada 2014. godine,</w:t>
      </w:r>
      <w:r w:rsidRPr="00C50D60">
        <w:rPr>
          <w:sz w:val="22"/>
          <w:szCs w:val="22"/>
        </w:rPr>
        <w:t xml:space="preserve">, ovaj sud smatra da u konkretnom slučaju postoje naročito opravdani razlozi da se stečajnom upravitelju </w:t>
      </w:r>
      <w:r w:rsidR="00BF4ABF">
        <w:rPr>
          <w:sz w:val="22"/>
          <w:szCs w:val="22"/>
        </w:rPr>
        <w:t xml:space="preserve">za navedeno razdoblje </w:t>
      </w:r>
      <w:r w:rsidRPr="00C50D60">
        <w:rPr>
          <w:sz w:val="22"/>
          <w:szCs w:val="22"/>
        </w:rPr>
        <w:t xml:space="preserve">odobri </w:t>
      </w:r>
      <w:r w:rsidR="00BF4ABF">
        <w:rPr>
          <w:sz w:val="22"/>
          <w:szCs w:val="22"/>
        </w:rPr>
        <w:t xml:space="preserve">dalja nagrda u visini od 20.000,00 kuna neto, </w:t>
      </w:r>
      <w:r w:rsidRPr="00C50D60">
        <w:rPr>
          <w:sz w:val="22"/>
          <w:szCs w:val="22"/>
        </w:rPr>
        <w:t>sve kako je to odlučeno u izreci ovog rješenja.</w:t>
      </w:r>
    </w:p>
    <w:p w:rsidRDefault="006C7FFD" w:rsidP="00841D40" w:rsidR="006C7FFD">
      <w:pPr>
        <w:ind w:firstLine="720"/>
        <w:jc w:val="both"/>
        <w:rPr>
          <w:sz w:val="22"/>
          <w:szCs w:val="22"/>
        </w:rPr>
      </w:pPr>
    </w:p>
    <w:p w:rsidRDefault="00841D40" w:rsidP="00841D40" w:rsidR="00841D40" w:rsidRPr="00841D40">
      <w:pPr>
        <w:ind w:firstLine="720"/>
        <w:jc w:val="both"/>
        <w:rPr>
          <w:sz w:val="22"/>
          <w:szCs w:val="22"/>
        </w:rPr>
      </w:pPr>
      <w:r w:rsidRPr="00841D40">
        <w:rPr>
          <w:sz w:val="22"/>
          <w:szCs w:val="22"/>
        </w:rPr>
        <w:t xml:space="preserve">Zbog navedenog, na temelju spomenutih propisa, odlučeno kao u izreci. </w:t>
      </w:r>
    </w:p>
    <w:p w:rsidRDefault="00841D40" w:rsidP="00841D40" w:rsidR="00841D40" w:rsidRPr="00841D40">
      <w:pPr>
        <w:ind w:firstLine="720"/>
        <w:jc w:val="both"/>
        <w:rPr>
          <w:sz w:val="22"/>
          <w:szCs w:val="22"/>
        </w:rPr>
      </w:pPr>
    </w:p>
    <w:p w:rsidRDefault="00B60415" w:rsidP="00B60415" w:rsidR="00B60415" w:rsidRPr="00B60415">
      <w:pPr>
        <w:jc w:val="center"/>
        <w:rPr>
          <w:b/>
          <w:sz w:val="22"/>
          <w:szCs w:val="22"/>
        </w:rPr>
      </w:pPr>
      <w:r w:rsidRPr="00B60415">
        <w:rPr>
          <w:b/>
          <w:sz w:val="22"/>
          <w:szCs w:val="22"/>
        </w:rPr>
        <w:t xml:space="preserve">U Dubrovniku, </w:t>
      </w:r>
      <w:r w:rsidR="00A77853">
        <w:rPr>
          <w:b/>
          <w:sz w:val="22"/>
          <w:szCs w:val="22"/>
        </w:rPr>
        <w:t>4</w:t>
      </w:r>
      <w:r w:rsidRPr="00B60415">
        <w:rPr>
          <w:b/>
          <w:sz w:val="22"/>
          <w:szCs w:val="22"/>
        </w:rPr>
        <w:t xml:space="preserve">. </w:t>
      </w:r>
      <w:r w:rsidR="00A77853">
        <w:rPr>
          <w:b/>
          <w:sz w:val="22"/>
          <w:szCs w:val="22"/>
        </w:rPr>
        <w:t>prosinca</w:t>
      </w:r>
      <w:r w:rsidRPr="00B60415">
        <w:rPr>
          <w:b/>
          <w:sz w:val="22"/>
          <w:szCs w:val="22"/>
        </w:rPr>
        <w:t xml:space="preserve"> 2015. godine</w:t>
      </w:r>
    </w:p>
    <w:p w:rsidRDefault="006849F2" w:rsidP="003921E6" w:rsidR="006849F2" w:rsidRPr="003921E6">
      <w:pPr>
        <w:jc w:val="center"/>
        <w:rPr>
          <w:b/>
          <w:sz w:val="22"/>
          <w:szCs w:val="22"/>
        </w:rPr>
      </w:pPr>
    </w:p>
    <w:p w:rsidRDefault="003921E6" w:rsidP="003921E6" w:rsidR="003921E6">
      <w:pPr>
        <w:jc w:val="both"/>
        <w:rPr>
          <w:sz w:val="22"/>
          <w:szCs w:val="22"/>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631D90" w:rsidP="003921E6" w:rsidR="00631D90">
      <w:pPr>
        <w:jc w:val="both"/>
        <w:rPr>
          <w:sz w:val="22"/>
          <w:szCs w:val="22"/>
        </w:rPr>
      </w:pPr>
    </w:p>
    <w:p w:rsidRDefault="003921E6" w:rsidP="003921E6" w:rsidR="003921E6" w:rsidRPr="003921E6">
      <w:pPr>
        <w:jc w:val="both"/>
        <w:rPr>
          <w:b/>
          <w:sz w:val="22"/>
          <w:szCs w:val="22"/>
        </w:rPr>
      </w:pPr>
      <w:r w:rsidRPr="003921E6">
        <w:rPr>
          <w:b/>
          <w:sz w:val="22"/>
          <w:szCs w:val="22"/>
        </w:rPr>
        <w:t>POUKA O PRAVNOM LIJEKU</w:t>
      </w:r>
    </w:p>
    <w:p w:rsidRDefault="003921E6" w:rsidP="003921E6" w:rsidR="003921E6" w:rsidRPr="003921E6">
      <w:pPr>
        <w:jc w:val="both"/>
        <w:rPr>
          <w:sz w:val="22"/>
          <w:szCs w:val="22"/>
        </w:rPr>
      </w:pPr>
      <w:r w:rsidRPr="003921E6">
        <w:rPr>
          <w:sz w:val="22"/>
          <w:szCs w:val="22"/>
        </w:rPr>
        <w:t>Protiv ovog rješenja dopuštena je žalba. Žalba se izjavljuje Visokom trgovačkom sudu RH u roku 8 dana od dana dostave rješenja, ovom sudu pozivom na gornji poslovni broj i žalba ne zadržava provedbu rješenja.</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3921E6">
      <w:pPr>
        <w:jc w:val="both"/>
        <w:rPr>
          <w:sz w:val="22"/>
          <w:szCs w:val="22"/>
        </w:rPr>
      </w:pPr>
      <w:r w:rsidRPr="003921E6">
        <w:rPr>
          <w:b/>
          <w:sz w:val="22"/>
          <w:szCs w:val="22"/>
        </w:rPr>
        <w:t>DN-a</w:t>
      </w:r>
      <w:r w:rsidRPr="003921E6">
        <w:rPr>
          <w:sz w:val="22"/>
          <w:szCs w:val="22"/>
        </w:rPr>
        <w:t xml:space="preserve"> (</w:t>
      </w:r>
      <w:r w:rsidR="00A77853">
        <w:rPr>
          <w:sz w:val="22"/>
          <w:szCs w:val="22"/>
        </w:rPr>
        <w:t>04</w:t>
      </w:r>
      <w:r w:rsidR="0034027F" w:rsidRPr="0034027F">
        <w:rPr>
          <w:sz w:val="22"/>
          <w:szCs w:val="22"/>
        </w:rPr>
        <w:t>.</w:t>
      </w:r>
      <w:r w:rsidR="001B646E">
        <w:rPr>
          <w:sz w:val="22"/>
          <w:szCs w:val="22"/>
        </w:rPr>
        <w:t>1</w:t>
      </w:r>
      <w:r w:rsidR="00A77853">
        <w:rPr>
          <w:sz w:val="22"/>
          <w:szCs w:val="22"/>
        </w:rPr>
        <w:t>2</w:t>
      </w:r>
      <w:r w:rsidR="00631D90" w:rsidRPr="0034027F">
        <w:rPr>
          <w:sz w:val="22"/>
          <w:szCs w:val="22"/>
        </w:rPr>
        <w:t>.</w:t>
      </w:r>
      <w:r w:rsidRPr="0034027F">
        <w:rPr>
          <w:sz w:val="22"/>
          <w:szCs w:val="22"/>
        </w:rPr>
        <w:t>201</w:t>
      </w:r>
      <w:r w:rsidR="00DA2B64" w:rsidRPr="0034027F">
        <w:rPr>
          <w:sz w:val="22"/>
          <w:szCs w:val="22"/>
        </w:rPr>
        <w:t>5</w:t>
      </w:r>
      <w:r w:rsidRPr="003921E6">
        <w:rPr>
          <w:sz w:val="22"/>
          <w:szCs w:val="22"/>
        </w:rPr>
        <w:t>.g.):</w:t>
      </w:r>
    </w:p>
    <w:p w:rsidRDefault="001B646E" w:rsidP="001B646E" w:rsidR="001B646E" w:rsidRPr="001B646E">
      <w:pPr>
        <w:numPr>
          <w:ilvl w:val="0"/>
          <w:numId w:val="5"/>
        </w:numPr>
        <w:jc w:val="both"/>
        <w:rPr>
          <w:sz w:val="22"/>
          <w:szCs w:val="22"/>
        </w:rPr>
      </w:pPr>
      <w:r w:rsidRPr="001B646E">
        <w:rPr>
          <w:sz w:val="22"/>
          <w:szCs w:val="22"/>
        </w:rPr>
        <w:t>stečajni upravitelj,</w:t>
      </w:r>
    </w:p>
    <w:p w:rsidRDefault="00271E56" w:rsidP="00271E56" w:rsidR="001B646E" w:rsidRPr="00641773">
      <w:pPr>
        <w:pStyle w:val="Odlomakpopisa"/>
        <w:numPr>
          <w:ilvl w:val="0"/>
          <w:numId w:val="5"/>
        </w:numPr>
        <w:jc w:val="both"/>
        <w:rPr>
          <w:sz w:val="22"/>
          <w:szCs w:val="22"/>
        </w:rPr>
      </w:pPr>
      <w:r w:rsidRPr="00641773">
        <w:rPr>
          <w:sz w:val="22"/>
          <w:szCs w:val="22"/>
        </w:rPr>
        <w:t>mrežna stranica e-oglasna ploča</w:t>
      </w:r>
    </w:p>
    <w:p w:rsidRDefault="00445ABB" w:rsidP="003921E6" w:rsidR="00445ABB" w:rsidRPr="00C25750">
      <w:pPr>
        <w:jc w:val="both"/>
        <w:rPr>
          <w:sz w:val="22"/>
          <w:szCs w:val="22"/>
        </w:rPr>
      </w:pPr>
    </w:p>
    <w:p w:rsidRDefault="007109A8" w:rsidP="007109A8" w:rsidR="007109A8" w:rsidRPr="00D04C32">
      <w:pPr>
        <w:jc w:val="both"/>
        <w:rPr>
          <w:sz w:val="22"/>
          <w:szCs w:val="22"/>
        </w:rPr>
      </w:pPr>
    </w:p>
    <w:sectPr w:rsidSect="002750E1" w:rsidR="007109A8" w:rsidRPr="00D04C32">
      <w:headerReference w:type="even" r:id="rId12"/>
      <w:headerReference w:type="default" r:id="rId13"/>
      <w:pgSz w:h="16838" w:w="11906"/>
      <w:pgMar w:gutter="0" w:footer="720" w:header="720" w:left="1797" w:bottom="1139"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B560D9">
      <w:rPr>
        <w:rStyle w:val="Brojstranice"/>
        <w:noProof/>
        <w:sz w:val="20"/>
        <w:szCs w:val="20"/>
      </w:rPr>
      <w:t>2</w:t>
    </w:r>
    <w:r w:rsidRPr="00105AD2">
      <w:rPr>
        <w:rStyle w:val="Brojstranice"/>
        <w:sz w:val="20"/>
        <w:szCs w:val="20"/>
      </w:rPr>
      <w:fldChar w:fldCharType="end"/>
    </w:r>
  </w:p>
  <w:p w:rsidRDefault="009B6F9F" w:rsidP="009B6F9F" w:rsidR="009B6F9F" w:rsidRPr="009B6F9F">
    <w:pPr>
      <w:jc w:val="right"/>
      <w:rPr>
        <w:b/>
        <w:sz w:val="22"/>
        <w:szCs w:val="22"/>
      </w:rPr>
    </w:pPr>
    <w:r w:rsidRPr="009B6F9F">
      <w:rPr>
        <w:b/>
        <w:sz w:val="22"/>
        <w:szCs w:val="22"/>
      </w:rPr>
      <w:t>Posl. br. 6-St.</w:t>
    </w:r>
    <w:r w:rsidR="000A3AEC">
      <w:rPr>
        <w:b/>
        <w:sz w:val="22"/>
        <w:szCs w:val="22"/>
      </w:rPr>
      <w:t>53</w:t>
    </w:r>
    <w:r w:rsidRPr="009B6F9F">
      <w:rPr>
        <w:b/>
        <w:sz w:val="22"/>
        <w:szCs w:val="22"/>
      </w:rPr>
      <w:t>/201</w:t>
    </w:r>
    <w:r w:rsidR="000A3AEC">
      <w:rPr>
        <w:b/>
        <w:sz w:val="22"/>
        <w:szCs w:val="22"/>
      </w:rPr>
      <w:t>1</w:t>
    </w:r>
    <w:r w:rsidRPr="009B6F9F">
      <w:rPr>
        <w:b/>
        <w:sz w:val="22"/>
        <w:szCs w:val="22"/>
      </w:rPr>
      <w:t>-</w:t>
    </w:r>
    <w:r w:rsidR="000A3AEC">
      <w:rPr>
        <w:b/>
        <w:sz w:val="22"/>
        <w:szCs w:val="22"/>
      </w:rPr>
      <w:t>2177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20A0E0C"/>
    <w:multiLevelType w:val="singleLevel"/>
    <w:tmpl w:val="9A38C32C"/>
    <w:lvl w:ilvl="0">
      <w:numFmt w:val="bullet"/>
      <w:lvlText w:val="-"/>
      <w:lvlJc w:val="left"/>
      <w:pPr>
        <w:tabs>
          <w:tab w:pos="360" w:val="num"/>
        </w:tabs>
        <w:ind w:hanging="360" w:left="360"/>
      </w:pPr>
      <w:rPr>
        <w:rFonts w:hint="default"/>
      </w:r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64C"/>
    <w:rsid w:val="000122C0"/>
    <w:rsid w:val="000204AC"/>
    <w:rsid w:val="0002514C"/>
    <w:rsid w:val="00031A8D"/>
    <w:rsid w:val="0005140C"/>
    <w:rsid w:val="00064E57"/>
    <w:rsid w:val="000764E3"/>
    <w:rsid w:val="0008286D"/>
    <w:rsid w:val="000A3AEC"/>
    <w:rsid w:val="000A638A"/>
    <w:rsid w:val="000B20CA"/>
    <w:rsid w:val="000B28EB"/>
    <w:rsid w:val="000B2F5E"/>
    <w:rsid w:val="000B3478"/>
    <w:rsid w:val="000B668B"/>
    <w:rsid w:val="000C0655"/>
    <w:rsid w:val="000D003B"/>
    <w:rsid w:val="000E4DC2"/>
    <w:rsid w:val="000E774D"/>
    <w:rsid w:val="000F07DB"/>
    <w:rsid w:val="00105AD2"/>
    <w:rsid w:val="00105FEC"/>
    <w:rsid w:val="00114D25"/>
    <w:rsid w:val="00122E06"/>
    <w:rsid w:val="0012614B"/>
    <w:rsid w:val="00134431"/>
    <w:rsid w:val="00135981"/>
    <w:rsid w:val="0016535F"/>
    <w:rsid w:val="00181761"/>
    <w:rsid w:val="00183009"/>
    <w:rsid w:val="0018418C"/>
    <w:rsid w:val="001A66AE"/>
    <w:rsid w:val="001B14F0"/>
    <w:rsid w:val="001B646E"/>
    <w:rsid w:val="001C6AD2"/>
    <w:rsid w:val="001F5233"/>
    <w:rsid w:val="00234159"/>
    <w:rsid w:val="00241FF9"/>
    <w:rsid w:val="0026451D"/>
    <w:rsid w:val="00271E56"/>
    <w:rsid w:val="002723A0"/>
    <w:rsid w:val="0027349C"/>
    <w:rsid w:val="00273D9B"/>
    <w:rsid w:val="002750E1"/>
    <w:rsid w:val="00275E17"/>
    <w:rsid w:val="00275FEE"/>
    <w:rsid w:val="00290D53"/>
    <w:rsid w:val="00292E41"/>
    <w:rsid w:val="00293884"/>
    <w:rsid w:val="00294027"/>
    <w:rsid w:val="002942C5"/>
    <w:rsid w:val="002B4471"/>
    <w:rsid w:val="002C324E"/>
    <w:rsid w:val="002D1CB0"/>
    <w:rsid w:val="002E0A2A"/>
    <w:rsid w:val="002E3679"/>
    <w:rsid w:val="002F5987"/>
    <w:rsid w:val="003038F8"/>
    <w:rsid w:val="0031224E"/>
    <w:rsid w:val="00320035"/>
    <w:rsid w:val="00320A07"/>
    <w:rsid w:val="00322C92"/>
    <w:rsid w:val="00331AD9"/>
    <w:rsid w:val="003356EA"/>
    <w:rsid w:val="00335E17"/>
    <w:rsid w:val="0034027F"/>
    <w:rsid w:val="00370161"/>
    <w:rsid w:val="00375E91"/>
    <w:rsid w:val="003921E6"/>
    <w:rsid w:val="003C657F"/>
    <w:rsid w:val="003D7B9F"/>
    <w:rsid w:val="003E3DC6"/>
    <w:rsid w:val="003F2396"/>
    <w:rsid w:val="004100B9"/>
    <w:rsid w:val="00437DC8"/>
    <w:rsid w:val="00445ABB"/>
    <w:rsid w:val="004508D1"/>
    <w:rsid w:val="00452807"/>
    <w:rsid w:val="00460498"/>
    <w:rsid w:val="00480280"/>
    <w:rsid w:val="004C7130"/>
    <w:rsid w:val="004D0890"/>
    <w:rsid w:val="004D1B5C"/>
    <w:rsid w:val="004E5DA4"/>
    <w:rsid w:val="00503962"/>
    <w:rsid w:val="005247DD"/>
    <w:rsid w:val="00530892"/>
    <w:rsid w:val="00535136"/>
    <w:rsid w:val="00543C4D"/>
    <w:rsid w:val="00550F01"/>
    <w:rsid w:val="005525BB"/>
    <w:rsid w:val="00555C1C"/>
    <w:rsid w:val="00560AEF"/>
    <w:rsid w:val="00561004"/>
    <w:rsid w:val="005A0326"/>
    <w:rsid w:val="005A5925"/>
    <w:rsid w:val="005B18B0"/>
    <w:rsid w:val="005B3100"/>
    <w:rsid w:val="005C6966"/>
    <w:rsid w:val="005D1125"/>
    <w:rsid w:val="005D30B0"/>
    <w:rsid w:val="005F49EC"/>
    <w:rsid w:val="006028FD"/>
    <w:rsid w:val="00607382"/>
    <w:rsid w:val="00616A68"/>
    <w:rsid w:val="00625FFE"/>
    <w:rsid w:val="0063094D"/>
    <w:rsid w:val="00631D90"/>
    <w:rsid w:val="00641773"/>
    <w:rsid w:val="00650C62"/>
    <w:rsid w:val="0065436B"/>
    <w:rsid w:val="006610AE"/>
    <w:rsid w:val="00663151"/>
    <w:rsid w:val="006732F8"/>
    <w:rsid w:val="006849F2"/>
    <w:rsid w:val="00693E25"/>
    <w:rsid w:val="006A3FB9"/>
    <w:rsid w:val="006A50F7"/>
    <w:rsid w:val="006A7B79"/>
    <w:rsid w:val="006B314A"/>
    <w:rsid w:val="006B6037"/>
    <w:rsid w:val="006C4470"/>
    <w:rsid w:val="006C7FFD"/>
    <w:rsid w:val="006E4680"/>
    <w:rsid w:val="006E7067"/>
    <w:rsid w:val="006F76D6"/>
    <w:rsid w:val="007109A8"/>
    <w:rsid w:val="00713BC5"/>
    <w:rsid w:val="00722770"/>
    <w:rsid w:val="007260A6"/>
    <w:rsid w:val="007372A4"/>
    <w:rsid w:val="007436BD"/>
    <w:rsid w:val="00770FFA"/>
    <w:rsid w:val="00773B0F"/>
    <w:rsid w:val="007B5FA2"/>
    <w:rsid w:val="007B6140"/>
    <w:rsid w:val="007D1DEB"/>
    <w:rsid w:val="007E1A83"/>
    <w:rsid w:val="007E1F34"/>
    <w:rsid w:val="007F51E4"/>
    <w:rsid w:val="007F7059"/>
    <w:rsid w:val="00801911"/>
    <w:rsid w:val="0080265D"/>
    <w:rsid w:val="00805C3E"/>
    <w:rsid w:val="008140C5"/>
    <w:rsid w:val="00816C9D"/>
    <w:rsid w:val="0082173D"/>
    <w:rsid w:val="00822CE0"/>
    <w:rsid w:val="00822ED9"/>
    <w:rsid w:val="0083257E"/>
    <w:rsid w:val="00841D40"/>
    <w:rsid w:val="008446FD"/>
    <w:rsid w:val="008659E5"/>
    <w:rsid w:val="0086637B"/>
    <w:rsid w:val="00871BAD"/>
    <w:rsid w:val="00872314"/>
    <w:rsid w:val="00881E11"/>
    <w:rsid w:val="00897B76"/>
    <w:rsid w:val="008B699C"/>
    <w:rsid w:val="008C68B8"/>
    <w:rsid w:val="008C7C09"/>
    <w:rsid w:val="008F4410"/>
    <w:rsid w:val="009154DF"/>
    <w:rsid w:val="00916497"/>
    <w:rsid w:val="0093147D"/>
    <w:rsid w:val="0093502E"/>
    <w:rsid w:val="00950ED0"/>
    <w:rsid w:val="00960197"/>
    <w:rsid w:val="009603A2"/>
    <w:rsid w:val="009661B1"/>
    <w:rsid w:val="00976018"/>
    <w:rsid w:val="00977FF0"/>
    <w:rsid w:val="00987C67"/>
    <w:rsid w:val="009A2F41"/>
    <w:rsid w:val="009A52B0"/>
    <w:rsid w:val="009A5CC2"/>
    <w:rsid w:val="009B6C95"/>
    <w:rsid w:val="009B6F9F"/>
    <w:rsid w:val="009D0E99"/>
    <w:rsid w:val="009D2322"/>
    <w:rsid w:val="009D2E14"/>
    <w:rsid w:val="009D5C99"/>
    <w:rsid w:val="009E0F4E"/>
    <w:rsid w:val="009E2F3E"/>
    <w:rsid w:val="00A00939"/>
    <w:rsid w:val="00A05715"/>
    <w:rsid w:val="00A15B43"/>
    <w:rsid w:val="00A2285A"/>
    <w:rsid w:val="00A22BFC"/>
    <w:rsid w:val="00A3356F"/>
    <w:rsid w:val="00A33810"/>
    <w:rsid w:val="00A37D93"/>
    <w:rsid w:val="00A525EF"/>
    <w:rsid w:val="00A6231D"/>
    <w:rsid w:val="00A66E4D"/>
    <w:rsid w:val="00A67416"/>
    <w:rsid w:val="00A77853"/>
    <w:rsid w:val="00A866A0"/>
    <w:rsid w:val="00A87FC5"/>
    <w:rsid w:val="00A96DAE"/>
    <w:rsid w:val="00AC1A08"/>
    <w:rsid w:val="00AC1E35"/>
    <w:rsid w:val="00AC2766"/>
    <w:rsid w:val="00AC477C"/>
    <w:rsid w:val="00AE3CA8"/>
    <w:rsid w:val="00AF51CE"/>
    <w:rsid w:val="00B06586"/>
    <w:rsid w:val="00B13827"/>
    <w:rsid w:val="00B31A9F"/>
    <w:rsid w:val="00B3737E"/>
    <w:rsid w:val="00B4286B"/>
    <w:rsid w:val="00B50A1E"/>
    <w:rsid w:val="00B560D9"/>
    <w:rsid w:val="00B60415"/>
    <w:rsid w:val="00B63FA2"/>
    <w:rsid w:val="00B70172"/>
    <w:rsid w:val="00B76193"/>
    <w:rsid w:val="00B82D5F"/>
    <w:rsid w:val="00B83322"/>
    <w:rsid w:val="00BB330A"/>
    <w:rsid w:val="00BB4270"/>
    <w:rsid w:val="00BC2403"/>
    <w:rsid w:val="00BD5601"/>
    <w:rsid w:val="00BF2FAE"/>
    <w:rsid w:val="00BF4ABF"/>
    <w:rsid w:val="00BF4E2A"/>
    <w:rsid w:val="00BF6193"/>
    <w:rsid w:val="00C150DF"/>
    <w:rsid w:val="00C1564B"/>
    <w:rsid w:val="00C17B56"/>
    <w:rsid w:val="00C25750"/>
    <w:rsid w:val="00C3316C"/>
    <w:rsid w:val="00C452A3"/>
    <w:rsid w:val="00C4610F"/>
    <w:rsid w:val="00C50D60"/>
    <w:rsid w:val="00C56BE9"/>
    <w:rsid w:val="00C77B6F"/>
    <w:rsid w:val="00C87615"/>
    <w:rsid w:val="00C9024B"/>
    <w:rsid w:val="00CB1F15"/>
    <w:rsid w:val="00CD0D7C"/>
    <w:rsid w:val="00CD713B"/>
    <w:rsid w:val="00CD7839"/>
    <w:rsid w:val="00CE25B2"/>
    <w:rsid w:val="00CE637D"/>
    <w:rsid w:val="00CE7A86"/>
    <w:rsid w:val="00CF2FC7"/>
    <w:rsid w:val="00CF7655"/>
    <w:rsid w:val="00D04C32"/>
    <w:rsid w:val="00D150BA"/>
    <w:rsid w:val="00D26414"/>
    <w:rsid w:val="00D31006"/>
    <w:rsid w:val="00D312E6"/>
    <w:rsid w:val="00D341B5"/>
    <w:rsid w:val="00D448DF"/>
    <w:rsid w:val="00D461D4"/>
    <w:rsid w:val="00D54E4E"/>
    <w:rsid w:val="00D56C33"/>
    <w:rsid w:val="00D57FA1"/>
    <w:rsid w:val="00D76FF6"/>
    <w:rsid w:val="00D85B26"/>
    <w:rsid w:val="00D92958"/>
    <w:rsid w:val="00D939B4"/>
    <w:rsid w:val="00D97250"/>
    <w:rsid w:val="00D97304"/>
    <w:rsid w:val="00DA2B64"/>
    <w:rsid w:val="00DA69B0"/>
    <w:rsid w:val="00DC564C"/>
    <w:rsid w:val="00DD2CD1"/>
    <w:rsid w:val="00DD45C6"/>
    <w:rsid w:val="00DD6D6D"/>
    <w:rsid w:val="00DE5101"/>
    <w:rsid w:val="00DE7A36"/>
    <w:rsid w:val="00DF04AF"/>
    <w:rsid w:val="00DF3A5E"/>
    <w:rsid w:val="00E02346"/>
    <w:rsid w:val="00E041D9"/>
    <w:rsid w:val="00E1161C"/>
    <w:rsid w:val="00E14BC2"/>
    <w:rsid w:val="00E1670F"/>
    <w:rsid w:val="00E35D17"/>
    <w:rsid w:val="00E41A93"/>
    <w:rsid w:val="00E4600D"/>
    <w:rsid w:val="00E53BF2"/>
    <w:rsid w:val="00E56924"/>
    <w:rsid w:val="00E876B0"/>
    <w:rsid w:val="00E91F84"/>
    <w:rsid w:val="00EA3204"/>
    <w:rsid w:val="00EA541E"/>
    <w:rsid w:val="00EC637D"/>
    <w:rsid w:val="00EE0023"/>
    <w:rsid w:val="00EF6C3B"/>
    <w:rsid w:val="00F04726"/>
    <w:rsid w:val="00F1646D"/>
    <w:rsid w:val="00F16648"/>
    <w:rsid w:val="00F16825"/>
    <w:rsid w:val="00F274A3"/>
    <w:rsid w:val="00F342A1"/>
    <w:rsid w:val="00F62699"/>
    <w:rsid w:val="00F637BE"/>
    <w:rsid w:val="00F64480"/>
    <w:rsid w:val="00F64B63"/>
    <w:rsid w:val="00F754E2"/>
    <w:rsid w:val="00FA095F"/>
    <w:rsid w:val="00FA25AB"/>
    <w:rsid w:val="00FB0A31"/>
    <w:rsid w:val="00FB237C"/>
    <w:rsid w:val="00FB2875"/>
    <w:rsid w:val="00FC5D91"/>
    <w:rsid w:val="00FD6706"/>
    <w:rsid w:val="00FE0E35"/>
    <w:rsid w:val="00FE5C17"/>
    <w:rsid w:val="00FE5F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rsid w:val="00FE0E35"/>
    <w:pPr>
      <w:jc w:val="both"/>
    </w:pPr>
    <w:rPr>
      <w:szCs w:val="20"/>
    </w:rPr>
  </w:style>
  <w:style w:customStyle="true" w:styleId="TijelotekstaChar" w:type="character">
    <w:name w:val="Tijelo teksta Char"/>
    <w:basedOn w:val="Zadanifontodlomka"/>
    <w:link w:val="Tijeloteksta"/>
    <w:rsid w:val="00FE0E35"/>
    <w:rPr>
      <w:sz w:val="24"/>
    </w:rPr>
  </w:style>
  <w:style w:styleId="Tekstrezerviranogmjesta" w:type="character">
    <w:name w:val="Placeholder Text"/>
    <w:basedOn w:val="Zadanifontodlomka"/>
    <w:uiPriority w:val="99"/>
    <w:semiHidden/>
    <w:rsid w:val="00B560D9"/>
    <w:rPr>
      <w:color w:val="808080"/>
      <w:bdr w:space="0" w:sz="0" w:color="auto" w:val="none"/>
      <w:shd w:fill="auto" w:color="auto" w:val="clear"/>
    </w:rPr>
  </w:style>
  <w:style w:customStyle="true" w:styleId="eSPISCCParagraphDefaultFont" w:type="character">
    <w:name w:val="eSPIS_CC_Paragraph Default Font"/>
    <w:basedOn w:val="Zadanifontodlomka"/>
    <w:rsid w:val="00B560D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560D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560D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560D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rsid w:val="00FE0E35"/>
    <w:pPr>
      <w:jc w:val="both"/>
    </w:pPr>
    <w:rPr>
      <w:szCs w:val="20"/>
    </w:rPr>
  </w:style>
  <w:style w:customStyle="1" w:styleId="TijelotekstaChar" w:type="character">
    <w:name w:val="Tijelo teksta Char"/>
    <w:basedOn w:val="Zadanifontodlomka"/>
    <w:link w:val="Tijeloteksta"/>
    <w:rsid w:val="00FE0E35"/>
    <w:rPr>
      <w:sz w:val="24"/>
    </w:rPr>
  </w:style>
  <w:style w:styleId="Tekstrezerviranogmjesta" w:type="character">
    <w:name w:val="Placeholder Text"/>
    <w:basedOn w:val="Zadanifontodlomka"/>
    <w:uiPriority w:val="99"/>
    <w:semiHidden/>
    <w:rsid w:val="00B560D9"/>
    <w:rPr>
      <w:color w:val="808080"/>
      <w:bdr w:color="auto" w:space="0" w:sz="0" w:val="none"/>
      <w:shd w:color="auto" w:fill="auto" w:val="clear"/>
    </w:rPr>
  </w:style>
  <w:style w:customStyle="1" w:styleId="eSPISCCParagraphDefaultFont" w:type="character">
    <w:name w:val="eSPIS_CC_Paragraph Default Font"/>
    <w:basedOn w:val="Zadanifontodlomka"/>
    <w:rsid w:val="00B560D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560D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560D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560D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St-53/2011-2177</izvorni_sadrzaj>
    <derivirana_varijabla naziv="DomainObject.Oznaka_1">St-53/2011-2177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St-53/2011-2177</izvorni_sadrzaj>
    <derivirana_varijabla naziv="DomainObject.PoslovniBrojDokumenta_1">St-53/2011-2177</derivirana_varijabla>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740</properties:Words>
  <properties:Characters>4134</properties:Characters>
  <properties:Lines>97</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2015-12-04T11:09:00Z</dcterms:created>
  <dc:creator>Srđan Gavranić</dc:creator>
  <cp:lastModifiedBy>Srđan Gavranić</cp:lastModifiedBy>
  <cp:lastPrinted>2015-12-04T11:22:00Z</cp:lastPrinted>
  <dcterms:modified xmlns:xsi="http://www.w3.org/2001/XMLSchema-instance" xsi:type="dcterms:W3CDTF">2015-12-04T11:23:00Z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St-53/2011-2177 / Odluka - Rješenje - određivanje predujma nagrade stečajnom upravitelju</vt:lpwstr>
  </prop:property>
  <prop:property name="CC_coloring" pid="4" fmtid="{D5CDD505-2E9C-101B-9397-08002B2CF9AE}">
    <vt:bool>false</vt:bool>
  </prop:property>
  <prop:property name="BrojStranica" pid="5" fmtid="{D5CDD505-2E9C-101B-9397-08002B2CF9AE}">
    <vt:i4>2</vt:i4>
  </prop:property>
</prop:Properties>
</file>