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4317" w14:paraId="1864317" w:rsidRDefault="00A374D2" w:rsidP="00A374D2" w:rsidR="00A374D2" w:rsidRPr="00A374D2">
      <w:pPr>
        <w:tabs>
          <w:tab w:pos="1830" w:val="left"/>
        </w:tabs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>1.St-172/2014</w:t>
      </w:r>
    </w:p>
    <w:p w:rsidRDefault="00A374D2" w:rsidP="00A374D2" w:rsidR="00A374D2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374D2" w:rsidP="00A374D2" w:rsidR="00A374D2" w:rsidRPr="00A374D2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>REPUBLIKA HRVATSKA</w:t>
      </w: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A374D2" w:rsidP="00A374D2" w:rsidR="00A374D2" w:rsidRPr="00A374D2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>TRGOVAČKI SUD U SPLITU</w:t>
      </w: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A374D2" w:rsidP="00A374D2" w:rsidR="00A374D2" w:rsidRPr="00A374D2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A374D2">
        <w:rPr>
          <w:rFonts w:cs="Times New Roman" w:eastAsia="Times New Roman" w:hAnsi="Times New Roman" w:ascii="Times New Roman"/>
          <w:b/>
          <w:sz w:val="24"/>
          <w:szCs w:val="24"/>
        </w:rPr>
        <w:t>Split, Sukoišanska 6</w:t>
      </w:r>
    </w:p>
    <w:p w:rsidRDefault="00A374D2" w:rsidP="00A374D2" w:rsidR="00A374D2" w:rsidRPr="00A374D2">
      <w:pPr>
        <w:spacing w:lineRule="auto" w:line="240" w:before="200"/>
        <w:jc w:val="center"/>
        <w:rPr>
          <w:rFonts w:cs="Times New Roman" w:eastAsia="Times New Roman" w:hAnsi="Times New Roman" w:ascii="Times New Roman"/>
          <w:b/>
          <w:spacing w:val="60"/>
          <w:sz w:val="24"/>
          <w:szCs w:val="24"/>
        </w:rPr>
      </w:pPr>
      <w:r w:rsidRPr="00A374D2">
        <w:rPr>
          <w:rFonts w:cs="Times New Roman" w:eastAsia="Times New Roman" w:hAnsi="Times New Roman" w:ascii="Times New Roman"/>
          <w:b/>
          <w:spacing w:val="60"/>
          <w:sz w:val="24"/>
          <w:szCs w:val="24"/>
        </w:rPr>
        <w:t>REPUBLIKA HRVATSKA</w:t>
      </w:r>
    </w:p>
    <w:p w:rsidRDefault="00A374D2" w:rsidP="00A374D2" w:rsidR="00A374D2" w:rsidRPr="00A374D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374D2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A374D2" w:rsidP="00A374D2" w:rsidR="00A374D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374D2" w:rsidP="00A374D2" w:rsidR="00A374D2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A374D2">
        <w:rPr>
          <w:rFonts w:cs="Times New Roman" w:hAnsi="Times New Roman" w:ascii="Times New Roman"/>
          <w:sz w:val="24"/>
          <w:szCs w:val="24"/>
        </w:rPr>
        <w:t>Trgovački sud u Splitu, po sucu Velimiru Vukoviću, kao stečajnom sucu, u stečajnom postupku nad  dužnikom VIS d.d. u stečaju, Vis, Šetalište Apolonija Zanelle 5, OIB: 55505367731</w:t>
      </w:r>
      <w:r>
        <w:rPr>
          <w:rFonts w:cs="Times New Roman" w:eastAsia="Times New Roman" w:hAnsi="Times New Roman" w:ascii="Times New Roman"/>
          <w:sz w:val="24"/>
          <w:szCs w:val="24"/>
        </w:rPr>
        <w:t>,</w:t>
      </w:r>
      <w:r w:rsidRPr="00A374D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povodom zahtjeva stečajne upraviteljice Mire Hajdić za određivanje predujma nagrade, dana 13. prosinca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2016. godine</w:t>
      </w:r>
    </w:p>
    <w:p w:rsidRDefault="00A374D2" w:rsidP="00A374D2" w:rsidR="00A374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74D2" w:rsidP="00A374D2" w:rsidR="00A374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</w:t>
      </w:r>
    </w:p>
    <w:p w:rsidRDefault="00A374D2" w:rsidP="00A374D2" w:rsidR="00A374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74D2" w:rsidP="00A374D2" w:rsidR="00A374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Stečajnoj upraviteljici Miri Hajdić određuje se predujam nagrade za obavljanje dužnosti stečajnog upravitelja u ovom stečajnom postupku u brutto mjesečnom iznosu od </w:t>
      </w:r>
      <w:r w:rsidR="00C077D4">
        <w:rPr>
          <w:rFonts w:cs="Times New Roman" w:hAnsi="Times New Roman" w:ascii="Times New Roman"/>
          <w:sz w:val="24"/>
          <w:szCs w:val="24"/>
        </w:rPr>
        <w:t xml:space="preserve">10.000,00 </w:t>
      </w:r>
      <w:r>
        <w:rPr>
          <w:rFonts w:cs="Times New Roman" w:hAnsi="Times New Roman" w:ascii="Times New Roman"/>
          <w:sz w:val="24"/>
          <w:szCs w:val="24"/>
        </w:rPr>
        <w:t xml:space="preserve">kn, počevši od 14. srpnja 2015. godine do 31. prosinca 2016. godine, a koji određeni predujam nagrade će se uračunati u konačni iznos nagrade stečajnom upravitelju u vrijeme zaključenja stečajnog postupka. </w:t>
      </w:r>
    </w:p>
    <w:p w:rsidRDefault="00A374D2" w:rsidP="00A374D2" w:rsidR="00A374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74D2" w:rsidP="00A374D2" w:rsidR="00A374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Upućuje se stečajna upraviteljica Mira Hajdić po pravomoćnosti ovoga rješenja, na isplatu određenog joj predujma nagrade (u pripadnom netto iznosu uz plaćanje pripadajućih poreza, prireza i doprinosa) iz točke I. ovog rješenja, a iz sredstava stečajnog dužnika.</w:t>
      </w:r>
    </w:p>
    <w:p w:rsidRDefault="00A374D2" w:rsidP="00A374D2" w:rsidR="00A374D2">
      <w:pPr>
        <w:spacing w:lineRule="auto" w:line="24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  <w:r w:rsidR="00C077D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374D2" w:rsidP="00A374D2" w:rsidR="00A374D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A374D2">
        <w:rPr>
          <w:rFonts w:cs="Times New Roman" w:hAnsi="Times New Roman" w:ascii="Times New Roman"/>
          <w:sz w:val="24"/>
          <w:szCs w:val="24"/>
        </w:rPr>
        <w:t>Rješenjem ovoga suda poslovnim broj  St-172/2014  od 14.srpnja 2015.godine otvoren je stečajni postupak nad dužnikom VIS d.d. u stečaju, Vis, Šetalište Apolonija Zanelle 5, OIB: 55505367731.Istim rješenjem za stečajnog upravitelja imenovana je Mira Ha</w:t>
      </w:r>
      <w:r>
        <w:rPr>
          <w:rFonts w:cs="Times New Roman" w:hAnsi="Times New Roman" w:ascii="Times New Roman"/>
          <w:sz w:val="24"/>
          <w:szCs w:val="24"/>
        </w:rPr>
        <w:t>jdić iz Splita, Smiljanićeva 2.</w:t>
      </w:r>
    </w:p>
    <w:p w:rsidRDefault="00A374D2" w:rsidP="00A374D2" w:rsidR="00A374D2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en-US"/>
        </w:rPr>
      </w:pPr>
      <w:r>
        <w:rPr>
          <w:rFonts w:cs="Times New Roman" w:hAnsi="Times New Roman" w:ascii="Times New Roman"/>
          <w:sz w:val="24"/>
          <w:szCs w:val="24"/>
        </w:rPr>
        <w:t xml:space="preserve">Na izvještajnom ročištu održanom dana 4.studenoga 2015. godine vjerovnici su donijeli odluku „da </w:t>
      </w:r>
      <w:r>
        <w:rPr>
          <w:rFonts w:cs="Times New Roman" w:eastAsia="Times New Roman" w:hAnsi="Times New Roman" w:ascii="Times New Roman"/>
          <w:sz w:val="24"/>
          <w:szCs w:val="24"/>
          <w:lang w:eastAsia="en-US"/>
        </w:rPr>
        <w:t>se nastavak poslovanja stečajnog dužnika uz angažiranje potrebnih radnika i sredstava, a koji radnici i sredstva će se financirati iz samog poslovanja, uz uvjet očuvanja i eventualnog povećanja postojeće stečajne mase, sve u smislu odredbe čl. 217. Stečajnog zakona (˝Narodne novine˝ broj 71/15)“.</w:t>
      </w:r>
    </w:p>
    <w:p w:rsidRDefault="00A374D2" w:rsidP="00A374D2" w:rsidR="00A374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74D2" w:rsidP="00A374D2" w:rsidR="00C077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12. prosinca 2016. godine kod ovoga suda zaprimljen je prijedlog stečajne upraviteljice za određivanjem predujma nagrade. U tom prijedlogu, stečajna upraviteljica navodi da su </w:t>
      </w:r>
      <w:r>
        <w:rPr>
          <w:rFonts w:cs="Times New Roman" w:hAnsi="Times New Roman" w:ascii="Times New Roman"/>
          <w:bCs/>
          <w:sz w:val="24"/>
          <w:szCs w:val="24"/>
        </w:rPr>
        <w:t xml:space="preserve">slijedom navedene odluke i činjenice redovitog odvijanja poslovanja dužnika, za </w:t>
      </w:r>
      <w:r>
        <w:rPr>
          <w:rFonts w:cs="Times New Roman" w:hAnsi="Times New Roman" w:ascii="Times New Roman"/>
          <w:sz w:val="24"/>
          <w:szCs w:val="24"/>
        </w:rPr>
        <w:t xml:space="preserve">stečajnog upravitelja nastale su nove i posebne obveze u vezi s organiziranjem i praćenjem </w:t>
      </w:r>
    </w:p>
    <w:p w:rsidRDefault="00C077D4" w:rsidP="00A374D2" w:rsidR="00C077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077D4" w:rsidP="00A374D2" w:rsidR="00C077D4" w:rsidRPr="00C077D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077D4">
        <w:rPr>
          <w:rFonts w:cs="Times New Roman" w:hAnsi="Times New Roman" w:ascii="Times New Roman"/>
          <w:b/>
          <w:sz w:val="24"/>
          <w:szCs w:val="24"/>
        </w:rPr>
        <w:t>1.St-172/2014</w:t>
      </w:r>
    </w:p>
    <w:p w:rsidRDefault="00C077D4" w:rsidP="00A374D2" w:rsidR="00C077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74D2" w:rsidP="00A374D2" w:rsidR="00A374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realizacije poslovanja, a koje je za rezultat imalo ostvarenje</w:t>
      </w:r>
      <w:r>
        <w:rPr>
          <w:rFonts w:cs="Times New Roman" w:hAnsi="Times New Roman" w:ascii="Times New Roman"/>
          <w:bCs/>
          <w:sz w:val="24"/>
          <w:szCs w:val="24"/>
        </w:rPr>
        <w:t xml:space="preserve"> operativne dobiti u tekućoj poslovnoj godini.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374D2" w:rsidP="00A374D2" w:rsidR="00A374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74D2" w:rsidP="00A374D2" w:rsidR="00A374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Uzimajući u obzir naprijed navedeno, a pozivajući se na odredbu čl. 94. st. 1., a temeljem odredbe čl.441. st. 2. SZ-a te odredbu čl. 2. st. 1. Uredbe o kriterijima i načinu obračuna i plaćanjima nagrade stečajnim upraviteljima („Narodne novine“ broj 105/15) predložila je da sud odredi isplatu predujma nagrade stečajnom upravitelju i to mjesečno u bruto iznosu od 10.000,00 kn počev od 14.srpnja 2015.godine do  31. prosinca 2016. godine, a koji predloženi predujam nagrade bi se uračunao u konačni iznos nagrade stečajnom upravitelju u vrijeme zaključenja stečajnog postupka. </w:t>
      </w:r>
    </w:p>
    <w:p w:rsidRDefault="00A374D2" w:rsidP="00A374D2" w:rsidR="00A374D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94. st. 1. Stečajnog zakona („Narodne novine“ 71/15; dalje SZ/15) koji se ovdje primjenjuje temeljem odredbe čl. 441. st. 2. SZ/15 propisano je da stečajni upravitelj ima pravo na nagradu za svoj rad i naknadu stvarnih troškova. St. 2. istog čl. propisuje da nagradu stečajnom upravitelju rješenjem određuje sud prema uredbi kojom Vlada Republike Hrvatske utvrđuje kriterije i način obračuna i plaćanja nagrade stečajnim upraviteljima.</w:t>
      </w:r>
    </w:p>
    <w:p w:rsidRDefault="00A374D2" w:rsidP="00A374D2" w:rsidR="00A374D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2. st. 1. Uredbe o kriterijima i načinu obračuna i plaćanjima nagrade stečajnim upraviteljima (˝Narodne novine˝ broj 105/15; dalje: Uredba) propisano je da stečajni upravitelj ima pravo na nagradu za obavljene poslove, a st. 3. da sud iznimno može stečajnom upravitelju odrediti isplatu predujma dijela nagrade u slučaju ako stečajni dužnik nastavlja poslovati tijekom stečajnog postupka ili ako je na ročištu vjerovnika stečajnom upravitelju naložena izrada stečajnog plana.</w:t>
      </w:r>
    </w:p>
    <w:p w:rsidRDefault="00A374D2" w:rsidP="00A374D2" w:rsidR="00C077D4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Sukladno naprijed citiranoj odredbi Uredbe, a uzimajući u obzir da je poslovanje nastavljeno ovaj sud je prihvatio prijedlog stečajnog upravitelja i istom odredio predujam nagrade kako je odlučeno u točki I. izreke ovog rješenja. </w:t>
      </w:r>
    </w:p>
    <w:p w:rsidRDefault="00C077D4" w:rsidP="00C077D4" w:rsidR="00C077D4" w:rsidRPr="00C077D4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Kod određivanja visine predujma nagrade </w:t>
      </w:r>
      <w:r w:rsidR="00A374D2">
        <w:rPr>
          <w:rFonts w:cs="Times New Roman" w:hAnsi="Times New Roman" w:ascii="Times New Roman"/>
          <w:sz w:val="24"/>
          <w:szCs w:val="24"/>
        </w:rPr>
        <w:t xml:space="preserve"> sud je vodio računa o opsegu i složenosti poslova stečajnog upravitelja u ovom postupku,</w:t>
      </w:r>
      <w:r>
        <w:rPr>
          <w:rFonts w:cs="Times New Roman" w:hAnsi="Times New Roman" w:ascii="Times New Roman"/>
          <w:sz w:val="24"/>
          <w:szCs w:val="24"/>
        </w:rPr>
        <w:t xml:space="preserve"> kao i činjenicu da se predmetni stečaj u odnosu na zatraženo razdoblje isplate predujma nagrade nalazi u ranoj fazi, kada se ne zna kada će i na koji način doći do unovčenja stečajne mase odnosno do zaključenja stečajnog postupka pa određeni iznos predujma nagrade od 10.000,00 kn mjesečno u bruto iznosu, po ocjeni ovog suda bi predstavljao primjereni iznos, i u skladu s odredbom čl. 2. Uredbe te  odredbe čl. 94. SZ-a.  </w:t>
      </w:r>
      <w:r w:rsidR="00A374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374D2" w:rsidP="00A374D2" w:rsidR="00A374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13. prosinca 2016. godine</w:t>
      </w:r>
    </w:p>
    <w:p w:rsidRDefault="00A374D2" w:rsidP="00A374D2" w:rsidR="00A374D2" w:rsidRPr="00A374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 w:rsidRPr="00A374D2">
        <w:rPr>
          <w:rFonts w:cs="Times New Roman" w:hAnsi="Times New Roman" w:ascii="Times New Roman"/>
          <w:sz w:val="24"/>
          <w:szCs w:val="24"/>
        </w:rPr>
        <w:t>S U D A C</w:t>
      </w:r>
    </w:p>
    <w:p w:rsidRDefault="00A374D2" w:rsidP="00A374D2" w:rsidR="00A374D2" w:rsidRPr="00A374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74D2" w:rsidP="00A374D2" w:rsidR="00A374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374D2">
        <w:rPr>
          <w:rFonts w:cs="Times New Roman" w:hAnsi="Times New Roman" w:ascii="Times New Roman"/>
          <w:sz w:val="24"/>
          <w:szCs w:val="24"/>
        </w:rPr>
        <w:tab/>
      </w:r>
      <w:r w:rsidRPr="00A374D2">
        <w:rPr>
          <w:rFonts w:cs="Times New Roman" w:hAnsi="Times New Roman" w:ascii="Times New Roman"/>
          <w:sz w:val="24"/>
          <w:szCs w:val="24"/>
        </w:rPr>
        <w:tab/>
      </w:r>
      <w:r w:rsidRPr="00A374D2">
        <w:rPr>
          <w:rFonts w:cs="Times New Roman" w:hAnsi="Times New Roman" w:ascii="Times New Roman"/>
          <w:sz w:val="24"/>
          <w:szCs w:val="24"/>
        </w:rPr>
        <w:tab/>
      </w:r>
      <w:r w:rsidRPr="00A374D2">
        <w:rPr>
          <w:rFonts w:cs="Times New Roman" w:hAnsi="Times New Roman" w:ascii="Times New Roman"/>
          <w:sz w:val="24"/>
          <w:szCs w:val="24"/>
        </w:rPr>
        <w:tab/>
      </w:r>
      <w:r w:rsidRPr="00A374D2">
        <w:rPr>
          <w:rFonts w:cs="Times New Roman" w:hAnsi="Times New Roman" w:ascii="Times New Roman"/>
          <w:sz w:val="24"/>
          <w:szCs w:val="24"/>
        </w:rPr>
        <w:tab/>
      </w:r>
      <w:r w:rsidRPr="00A374D2">
        <w:rPr>
          <w:rFonts w:cs="Times New Roman" w:hAnsi="Times New Roman" w:ascii="Times New Roman"/>
          <w:sz w:val="24"/>
          <w:szCs w:val="24"/>
        </w:rPr>
        <w:tab/>
      </w:r>
      <w:r w:rsidRPr="00A374D2">
        <w:rPr>
          <w:rFonts w:cs="Times New Roman" w:hAnsi="Times New Roman" w:ascii="Times New Roman"/>
          <w:sz w:val="24"/>
          <w:szCs w:val="24"/>
        </w:rPr>
        <w:tab/>
      </w:r>
      <w:r w:rsidRPr="00A374D2">
        <w:rPr>
          <w:rFonts w:cs="Times New Roman" w:hAnsi="Times New Roman" w:ascii="Times New Roman"/>
          <w:sz w:val="24"/>
          <w:szCs w:val="24"/>
        </w:rPr>
        <w:tab/>
      </w:r>
      <w:r w:rsidRPr="00A374D2">
        <w:rPr>
          <w:rFonts w:cs="Times New Roman" w:hAnsi="Times New Roman" w:ascii="Times New Roman"/>
          <w:sz w:val="24"/>
          <w:szCs w:val="24"/>
        </w:rPr>
        <w:tab/>
      </w:r>
      <w:r w:rsidRPr="00A374D2"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C077D4" w:rsidP="00A374D2" w:rsidR="00C077D4" w:rsidRPr="00A374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74D2" w:rsidP="00C077D4" w:rsidR="00A374D2" w:rsidRPr="00C077D4">
      <w:pPr>
        <w:spacing w:lineRule="auto" w:line="240" w:after="0" w:before="200"/>
        <w:jc w:val="both"/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74D2" w:rsidP="00A374D2" w:rsidR="00A374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A374D2" w:rsidP="00A374D2" w:rsidR="00A374D2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</w:p>
    <w:p w:rsidRDefault="00A374D2" w:rsidP="00A374D2" w:rsidR="00A374D2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mrežna stranica e-Oglasna ploča sudova</w:t>
      </w:r>
    </w:p>
    <w:p w:rsidRDefault="00A374D2" w:rsidP="00A374D2" w:rsidR="00A374D2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sectPr w:rsidR="00A374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D2"/>
    <w:rsid w:val="000050BF"/>
    <w:rsid w:val="000256D3"/>
    <w:rsid w:val="0010074F"/>
    <w:rsid w:val="00110BE4"/>
    <w:rsid w:val="00132A7E"/>
    <w:rsid w:val="001B56D0"/>
    <w:rsid w:val="001E1B30"/>
    <w:rsid w:val="00204170"/>
    <w:rsid w:val="002854BB"/>
    <w:rsid w:val="003A4819"/>
    <w:rsid w:val="00454D6B"/>
    <w:rsid w:val="005061A6"/>
    <w:rsid w:val="00543C6E"/>
    <w:rsid w:val="0055047E"/>
    <w:rsid w:val="005C2192"/>
    <w:rsid w:val="005F20F8"/>
    <w:rsid w:val="007766AB"/>
    <w:rsid w:val="00865E9C"/>
    <w:rsid w:val="00A05026"/>
    <w:rsid w:val="00A374D2"/>
    <w:rsid w:val="00AB6E49"/>
    <w:rsid w:val="00AC09D9"/>
    <w:rsid w:val="00B01348"/>
    <w:rsid w:val="00B40090"/>
    <w:rsid w:val="00B72C27"/>
    <w:rsid w:val="00B874FD"/>
    <w:rsid w:val="00C077D4"/>
    <w:rsid w:val="00C655DC"/>
    <w:rsid w:val="00D47954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74D2"/>
    <w:pPr>
      <w:spacing w:lineRule="auto" w:line="276" w:after="200"/>
    </w:pPr>
    <w:rPr>
      <w:rFonts w:eastAsiaTheme="minorEastAsia" w:hAnsiTheme="minorHAnsi" w:asciiTheme="minorHAns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74D2"/>
    <w:rPr>
      <w:rFonts w:eastAsiaTheme="minorEastAsia" w:hAnsiTheme="minorHAnsi" w:asciiTheme="minorHAnsi"/>
      <w:sz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74D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74D2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5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E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E9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E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E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74D2"/>
    <w:pPr>
      <w:spacing w:after="200" w:line="276" w:lineRule="auto"/>
    </w:pPr>
    <w:rPr>
      <w:rFonts w:asciiTheme="minorHAnsi" w:eastAsiaTheme="minorEastAsia" w:hAnsiTheme="minorHAns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74D2"/>
    <w:rPr>
      <w:rFonts w:asciiTheme="minorHAnsi" w:eastAsiaTheme="minorEastAsia" w:hAnsiTheme="minorHAnsi"/>
      <w:sz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74D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74D2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5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E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E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E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E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62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764</properties:Words>
  <properties:Characters>4304</properties:Characters>
  <properties:Lines>87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2016-12-13T07:00:00Z</dcterms:created>
  <dc:creator>Marija Elez</dc:creator>
  <cp:lastModifiedBy>Marija Elez</cp:lastModifiedBy>
  <cp:lastPrinted>2016-12-13T07:20:00Z</cp:lastPrinted>
  <dcterms:modified xmlns:xsi="http://www.w3.org/2001/XMLSchema-instance" xsi:type="dcterms:W3CDTF">2016-12-13T07:25:00Z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