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b8db2" w14:paraId="d2b8db2" w:rsidRDefault="0041595B" w:rsidP="0041595B" w:rsidR="0041595B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  <w:color w:val="000000"/>
        </w:rPr>
        <w:t xml:space="preserve"> 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TRGOVAČKI SUD U OSIJEKU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STALNA SLUŽBA  U SLAVONSKOM BRODU</w:t>
      </w:r>
      <w:r w:rsidR="00186A55">
        <w:rPr>
          <w:rFonts w:cs="Times New Roman" w:hAnsi="Times New Roman" w:ascii="Times New Roman"/>
          <w:b/>
          <w:sz w:val="24"/>
          <w:szCs w:val="24"/>
        </w:rPr>
        <w:t xml:space="preserve">                        </w:t>
      </w:r>
      <w:r w:rsidR="00DC6C9B" w:rsidRPr="00186A55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186A55">
        <w:rPr>
          <w:rFonts w:cs="Times New Roman" w:hAnsi="Times New Roman" w:ascii="Times New Roman"/>
          <w:b/>
          <w:sz w:val="24"/>
          <w:szCs w:val="24"/>
        </w:rPr>
        <w:t xml:space="preserve">  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Trg pobjede 13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SLAVONSKI BROD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              TRGOVAČKI SUD U OSIJEKU, STALNA SLUŽBA U SLAVONSKOM BRODU</w:t>
      </w:r>
      <w:r>
        <w:rPr>
          <w:rFonts w:cs="Times New Roman" w:hAnsi="Times New Roman" w:ascii="Times New Roman"/>
          <w:sz w:val="24"/>
          <w:szCs w:val="24"/>
        </w:rPr>
        <w:t xml:space="preserve">, po stečajnoj sutkinji Mirni Vujčić, postupajući po prijedlogu 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DC6C9B">
        <w:rPr>
          <w:rFonts w:cs="Times New Roman" w:hAnsi="Times New Roman" w:ascii="Times New Roman"/>
          <w:sz w:val="24"/>
          <w:szCs w:val="24"/>
        </w:rPr>
        <w:t>Financijske agencije</w:t>
      </w:r>
      <w:r w:rsidR="00DC6C9B" w:rsidRPr="00DC6C9B">
        <w:rPr>
          <w:rFonts w:cs="Times New Roman" w:hAnsi="Times New Roman" w:ascii="Times New Roman"/>
          <w:sz w:val="24"/>
          <w:szCs w:val="24"/>
        </w:rPr>
        <w:t>, Regionalnog centra</w:t>
      </w:r>
      <w:r w:rsidR="00DC6C9B">
        <w:rPr>
          <w:rFonts w:cs="Times New Roman" w:hAnsi="Times New Roman" w:ascii="Times New Roman"/>
          <w:sz w:val="24"/>
          <w:szCs w:val="24"/>
        </w:rPr>
        <w:t xml:space="preserve"> Zagreb</w:t>
      </w:r>
      <w:r>
        <w:rPr>
          <w:rFonts w:cs="Times New Roman" w:hAnsi="Times New Roman" w:ascii="Times New Roman"/>
          <w:sz w:val="24"/>
          <w:szCs w:val="24"/>
        </w:rPr>
        <w:t xml:space="preserve"> za otvaranje stečajnog postupka nad stečajnim dužnikom </w:t>
      </w:r>
      <w:r w:rsidR="00425F2F">
        <w:rPr>
          <w:rFonts w:cs="Times New Roman" w:hAnsi="Times New Roman" w:ascii="Times New Roman"/>
          <w:sz w:val="24"/>
          <w:szCs w:val="24"/>
        </w:rPr>
        <w:t>KERAMIKA KARAČIĆ društvo s ograničenom odgovornošću za proizvodnju, trgovinu i usluge</w:t>
      </w:r>
      <w:r w:rsidR="00E360A8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skraćena tvrtka: </w:t>
      </w:r>
      <w:r w:rsidR="00425F2F">
        <w:rPr>
          <w:rFonts w:cs="Times New Roman" w:hAnsi="Times New Roman" w:ascii="Times New Roman"/>
          <w:sz w:val="24"/>
          <w:szCs w:val="24"/>
        </w:rPr>
        <w:t>KERAMIKA KARAČIĆ</w:t>
      </w:r>
      <w:r w:rsidR="00E360A8">
        <w:rPr>
          <w:rFonts w:cs="Times New Roman" w:hAnsi="Times New Roman" w:ascii="Times New Roman"/>
          <w:sz w:val="24"/>
          <w:szCs w:val="24"/>
        </w:rPr>
        <w:t xml:space="preserve"> d.o.o., Zagreb, </w:t>
      </w:r>
      <w:proofErr w:type="spellStart"/>
      <w:r w:rsidR="00425F2F">
        <w:rPr>
          <w:rFonts w:cs="Times New Roman" w:hAnsi="Times New Roman" w:ascii="Times New Roman"/>
          <w:sz w:val="24"/>
          <w:szCs w:val="24"/>
        </w:rPr>
        <w:t>Teslićka</w:t>
      </w:r>
      <w:proofErr w:type="spellEnd"/>
      <w:r w:rsidR="00425F2F">
        <w:rPr>
          <w:rFonts w:cs="Times New Roman" w:hAnsi="Times New Roman" w:ascii="Times New Roman"/>
          <w:sz w:val="24"/>
          <w:szCs w:val="24"/>
        </w:rPr>
        <w:t xml:space="preserve"> 69</w:t>
      </w:r>
      <w:r w:rsidR="00E360A8">
        <w:rPr>
          <w:rFonts w:cs="Times New Roman" w:hAnsi="Times New Roman" w:ascii="Times New Roman"/>
          <w:sz w:val="24"/>
          <w:szCs w:val="24"/>
        </w:rPr>
        <w:t xml:space="preserve">, OIB </w:t>
      </w:r>
      <w:r w:rsidR="00425F2F">
        <w:rPr>
          <w:rFonts w:cs="Times New Roman" w:hAnsi="Times New Roman" w:ascii="Times New Roman"/>
          <w:sz w:val="24"/>
          <w:szCs w:val="24"/>
        </w:rPr>
        <w:t>77735103030</w:t>
      </w:r>
      <w:r w:rsidR="00DC6C9B">
        <w:rPr>
          <w:rFonts w:cs="Times New Roman" w:hAnsi="Times New Roman" w:ascii="Times New Roman"/>
          <w:sz w:val="24"/>
          <w:szCs w:val="24"/>
        </w:rPr>
        <w:t xml:space="preserve"> dana </w:t>
      </w:r>
      <w:r w:rsidR="00425F2F">
        <w:rPr>
          <w:rFonts w:cs="Times New Roman" w:hAnsi="Times New Roman" w:ascii="Times New Roman"/>
          <w:sz w:val="24"/>
          <w:szCs w:val="24"/>
        </w:rPr>
        <w:t>14. studenog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DC6C9B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447AC" w:rsidP="0041595B" w:rsidR="00E447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1595B" w:rsidP="0041595B" w:rsidR="004159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I. Pokreće se prethodni postupak radi utvrđivanja pretpostavki za otvaranje stečajnog postupka nad stečajnim dužnikom 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>II. Ročište radi očitovanja o prijedlogu za otvaranje stečajnog postupka, te radi rasprave o pretpostavkama za otvaranje stečajnog postupka zakazuje se za dan: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5F2F" w:rsidP="0041595B" w:rsidR="0041595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</w:t>
      </w:r>
      <w:r w:rsidR="00902173">
        <w:rPr>
          <w:rFonts w:cs="Times New Roman" w:hAnsi="Times New Roman" w:ascii="Times New Roman"/>
          <w:b/>
          <w:sz w:val="24"/>
          <w:szCs w:val="24"/>
        </w:rPr>
        <w:t>2</w:t>
      </w:r>
      <w:r>
        <w:rPr>
          <w:rFonts w:cs="Times New Roman" w:hAnsi="Times New Roman" w:ascii="Times New Roman"/>
          <w:b/>
          <w:sz w:val="24"/>
          <w:szCs w:val="24"/>
        </w:rPr>
        <w:t>. siječnja</w:t>
      </w:r>
      <w:r w:rsidR="00356E5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1595B">
        <w:rPr>
          <w:rFonts w:cs="Times New Roman" w:hAnsi="Times New Roman" w:ascii="Times New Roman"/>
          <w:b/>
          <w:sz w:val="24"/>
          <w:szCs w:val="24"/>
        </w:rPr>
        <w:t>201</w:t>
      </w:r>
      <w:r w:rsidR="00DC6C9B">
        <w:rPr>
          <w:rFonts w:cs="Times New Roman" w:hAnsi="Times New Roman" w:ascii="Times New Roman"/>
          <w:b/>
          <w:sz w:val="24"/>
          <w:szCs w:val="24"/>
        </w:rPr>
        <w:t>8</w:t>
      </w:r>
      <w:r w:rsidR="001D00A6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>
        <w:rPr>
          <w:rFonts w:cs="Times New Roman" w:hAnsi="Times New Roman" w:ascii="Times New Roman"/>
          <w:b/>
          <w:sz w:val="24"/>
          <w:szCs w:val="24"/>
        </w:rPr>
        <w:t>09</w:t>
      </w:r>
      <w:r w:rsidR="0041595B">
        <w:rPr>
          <w:rFonts w:cs="Times New Roman" w:hAnsi="Times New Roman" w:ascii="Times New Roman"/>
          <w:b/>
          <w:sz w:val="24"/>
          <w:szCs w:val="24"/>
        </w:rPr>
        <w:t>:</w:t>
      </w:r>
      <w:r>
        <w:rPr>
          <w:rFonts w:cs="Times New Roman" w:hAnsi="Times New Roman" w:ascii="Times New Roman"/>
          <w:b/>
          <w:sz w:val="24"/>
          <w:szCs w:val="24"/>
        </w:rPr>
        <w:t>3</w:t>
      </w:r>
      <w:r w:rsidR="0041595B">
        <w:rPr>
          <w:rFonts w:cs="Times New Roman" w:hAnsi="Times New Roman" w:ascii="Times New Roman"/>
          <w:b/>
          <w:sz w:val="24"/>
          <w:szCs w:val="24"/>
        </w:rPr>
        <w:t>0 sati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C6C9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6C9B">
        <w:rPr>
          <w:rFonts w:cs="Times New Roman" w:hAnsi="Times New Roman" w:ascii="Times New Roman"/>
          <w:sz w:val="24"/>
          <w:szCs w:val="24"/>
        </w:rPr>
        <w:t>a na koje ročište se pozivaju predlagatelj - Financijska agencija te zastupnik po zakonu dužnika, te predstavnik pravne osobe koja za dužnika obavlja poslove platnog prometa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III. Nalaže se dužniku odnosno zastupniku po zakonu dužnika na ročište donijeti popis imovine i obveza dužnika, te godišnji financijski izvještaj odnosno bilancu za prethodnu godinu. </w:t>
      </w: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D147B3" w:rsidR="001232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DC6C9B" w:rsidRPr="00DC6C9B">
        <w:rPr>
          <w:rFonts w:cs="Times New Roman" w:hAnsi="Times New Roman" w:ascii="Times New Roman"/>
          <w:sz w:val="24"/>
          <w:szCs w:val="24"/>
        </w:rPr>
        <w:t>Predlagatelj – Financijska agencija je na temelju odredbe čl.110. st. 1. Stečajnog zakona ( dalje: SZ, NN 71/15</w:t>
      </w:r>
      <w:r w:rsidR="000444BA">
        <w:rPr>
          <w:rFonts w:cs="Times New Roman" w:hAnsi="Times New Roman" w:ascii="Times New Roman"/>
          <w:sz w:val="24"/>
          <w:szCs w:val="24"/>
        </w:rPr>
        <w:t>, 104/17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) podnijela prijedlog za otvaranje stečajnog postupka nad stečajnim dužnikom u kojem navodi da na dan</w:t>
      </w:r>
      <w:r w:rsidR="006E59CC">
        <w:rPr>
          <w:rFonts w:cs="Times New Roman" w:hAnsi="Times New Roman" w:ascii="Times New Roman"/>
          <w:sz w:val="24"/>
          <w:szCs w:val="24"/>
        </w:rPr>
        <w:t xml:space="preserve"> 0</w:t>
      </w:r>
      <w:r w:rsidR="006D4389">
        <w:rPr>
          <w:rFonts w:cs="Times New Roman" w:hAnsi="Times New Roman" w:ascii="Times New Roman"/>
          <w:sz w:val="24"/>
          <w:szCs w:val="24"/>
        </w:rPr>
        <w:t>7</w:t>
      </w:r>
      <w:r w:rsidR="00356E50">
        <w:rPr>
          <w:rFonts w:cs="Times New Roman" w:hAnsi="Times New Roman" w:ascii="Times New Roman"/>
          <w:sz w:val="24"/>
          <w:szCs w:val="24"/>
        </w:rPr>
        <w:t>.</w:t>
      </w:r>
      <w:r w:rsidR="006D4389">
        <w:rPr>
          <w:rFonts w:cs="Times New Roman" w:hAnsi="Times New Roman" w:ascii="Times New Roman"/>
          <w:sz w:val="24"/>
          <w:szCs w:val="24"/>
        </w:rPr>
        <w:t xml:space="preserve"> travnja</w:t>
      </w:r>
      <w:r w:rsidR="00356E50">
        <w:rPr>
          <w:rFonts w:cs="Times New Roman" w:hAnsi="Times New Roman" w:ascii="Times New Roman"/>
          <w:sz w:val="24"/>
          <w:szCs w:val="24"/>
        </w:rPr>
        <w:t xml:space="preserve"> 2017.godine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dužnik u Očevidniku redoslijeda osnova za plaćanje ima evidentirane neizvršene osnove za plaćanje u neprekinutom razdoblju od 120 dana, te da ima </w:t>
      </w:r>
      <w:r w:rsidR="00F44327">
        <w:rPr>
          <w:rFonts w:cs="Times New Roman" w:hAnsi="Times New Roman" w:ascii="Times New Roman"/>
          <w:sz w:val="24"/>
          <w:szCs w:val="24"/>
        </w:rPr>
        <w:t xml:space="preserve">jednu </w:t>
      </w:r>
      <w:r w:rsidR="00DC6C9B" w:rsidRPr="00DC6C9B">
        <w:rPr>
          <w:rFonts w:cs="Times New Roman" w:hAnsi="Times New Roman" w:ascii="Times New Roman"/>
          <w:sz w:val="24"/>
          <w:szCs w:val="24"/>
        </w:rPr>
        <w:t>zaposlen</w:t>
      </w:r>
      <w:r w:rsidR="00F44327">
        <w:rPr>
          <w:rFonts w:cs="Times New Roman" w:hAnsi="Times New Roman" w:ascii="Times New Roman"/>
          <w:sz w:val="24"/>
          <w:szCs w:val="24"/>
        </w:rPr>
        <w:t>u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osob</w:t>
      </w:r>
      <w:r w:rsidR="00F44327">
        <w:rPr>
          <w:rFonts w:cs="Times New Roman" w:hAnsi="Times New Roman" w:ascii="Times New Roman"/>
          <w:sz w:val="24"/>
          <w:szCs w:val="24"/>
        </w:rPr>
        <w:t>u</w:t>
      </w:r>
      <w:r w:rsidR="00DC6C9B" w:rsidRPr="00DC6C9B">
        <w:rPr>
          <w:rFonts w:cs="Times New Roman" w:hAnsi="Times New Roman" w:ascii="Times New Roman"/>
          <w:sz w:val="24"/>
          <w:szCs w:val="24"/>
        </w:rPr>
        <w:t>,kao da ima otvoren poslovni račun kod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44327">
        <w:rPr>
          <w:rFonts w:cs="Times New Roman" w:hAnsi="Times New Roman" w:ascii="Times New Roman"/>
          <w:sz w:val="24"/>
          <w:szCs w:val="24"/>
        </w:rPr>
        <w:t xml:space="preserve">Privredne </w:t>
      </w:r>
      <w:r w:rsidR="006E59CC">
        <w:rPr>
          <w:rFonts w:cs="Times New Roman" w:hAnsi="Times New Roman" w:ascii="Times New Roman"/>
          <w:sz w:val="24"/>
          <w:szCs w:val="24"/>
        </w:rPr>
        <w:t>banke</w:t>
      </w:r>
      <w:r w:rsidR="00F44327">
        <w:rPr>
          <w:rFonts w:cs="Times New Roman" w:hAnsi="Times New Roman" w:ascii="Times New Roman"/>
          <w:sz w:val="24"/>
          <w:szCs w:val="24"/>
        </w:rPr>
        <w:t xml:space="preserve"> Zagreb d.d. Zagreb</w:t>
      </w:r>
      <w:r w:rsidR="00356E50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123290" w:rsidP="00D147B3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Rješenjem Visokog trgovačkog suda Republike Hrvatske posl.br. 31 Su-</w:t>
      </w:r>
      <w:r w:rsidR="006D4389">
        <w:rPr>
          <w:rFonts w:cs="Times New Roman" w:hAnsi="Times New Roman" w:ascii="Times New Roman"/>
          <w:sz w:val="24"/>
          <w:szCs w:val="24"/>
        </w:rPr>
        <w:t>236</w:t>
      </w:r>
      <w:r>
        <w:rPr>
          <w:rFonts w:cs="Times New Roman" w:hAnsi="Times New Roman" w:ascii="Times New Roman"/>
          <w:sz w:val="24"/>
          <w:szCs w:val="24"/>
        </w:rPr>
        <w:t>/1</w:t>
      </w:r>
      <w:r w:rsidR="006D4389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-</w:t>
      </w:r>
      <w:r w:rsidR="006D4389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6D4389">
        <w:rPr>
          <w:rFonts w:cs="Times New Roman" w:hAnsi="Times New Roman" w:ascii="Times New Roman"/>
          <w:sz w:val="24"/>
          <w:szCs w:val="24"/>
        </w:rPr>
        <w:t>09. ožujka 2018</w:t>
      </w:r>
      <w:r>
        <w:rPr>
          <w:rFonts w:cs="Times New Roman" w:hAnsi="Times New Roman" w:ascii="Times New Roman"/>
          <w:sz w:val="24"/>
          <w:szCs w:val="24"/>
        </w:rPr>
        <w:t>.</w:t>
      </w:r>
      <w:r w:rsidR="0075342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godine </w:t>
      </w:r>
      <w:r w:rsidR="0075342A">
        <w:rPr>
          <w:rFonts w:cs="Times New Roman" w:hAnsi="Times New Roman" w:ascii="Times New Roman"/>
          <w:sz w:val="24"/>
          <w:szCs w:val="24"/>
        </w:rPr>
        <w:t>predmet je delegiran ovome sudu na postupanje.</w:t>
      </w:r>
      <w:r w:rsidR="0041595B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41595B" w:rsidP="0075342A" w:rsidR="007534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 xml:space="preserve">Stoga je na temelju odredbe čl. 115. SZ-a donesena odluka o  pokretanju prethodnog postupka radi utvrđivanja pretpostavki za otvaranje stečajnog postupka, a na temelju odredbe čl. 123. i čl. 128. SZ-a odluka o zakazivanju ročišta radi očitovanja o </w:t>
      </w:r>
    </w:p>
    <w:p w:rsidRDefault="00D147B3" w:rsidP="0075342A" w:rsidR="006E59C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147B3">
        <w:rPr>
          <w:rFonts w:cs="Times New Roman" w:hAnsi="Times New Roman" w:ascii="Times New Roman"/>
          <w:sz w:val="24"/>
          <w:szCs w:val="24"/>
        </w:rPr>
        <w:lastRenderedPageBreak/>
        <w:t xml:space="preserve">prijedlogu za otvaranje stečajnog postupka, te rasprave o pretpostavkama za otvaranje stečajnog postupka, na koje su pozvane osobe koje je po zakonu potrebno pozvati. </w:t>
      </w:r>
    </w:p>
    <w:p w:rsidRDefault="006E59CC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>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III. izreke rješenja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356E50">
        <w:rPr>
          <w:rFonts w:cs="Times New Roman" w:hAnsi="Times New Roman" w:ascii="Times New Roman"/>
          <w:sz w:val="24"/>
          <w:szCs w:val="24"/>
        </w:rPr>
        <w:t xml:space="preserve">U Slavonskom Brodu, </w:t>
      </w:r>
      <w:r w:rsidR="006D4389">
        <w:rPr>
          <w:rFonts w:cs="Times New Roman" w:hAnsi="Times New Roman" w:ascii="Times New Roman"/>
          <w:sz w:val="24"/>
          <w:szCs w:val="24"/>
        </w:rPr>
        <w:t>14. studenog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356E50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Stečajna sutkinja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E360A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Mirna Vujčić</w:t>
      </w:r>
    </w:p>
    <w:p w:rsidRDefault="00BB5D1F" w:rsidP="0041595B" w:rsidR="00BB5D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B5D1F" w:rsidP="0041595B" w:rsidR="00BB5D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6E59C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6E59CC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color w:val="000000"/>
          <w:sz w:val="20"/>
          <w:szCs w:val="20"/>
        </w:rPr>
        <w:t xml:space="preserve">Protiv ovog rješenja nije dopuštena posebna žalba sukladno odredbi čl. 115. Stečajnog zakona. 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DNA: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1. Objaviti na mrežnoj stranici e-Oglasna ploča sudova zajedno s prijedlogom za otvaranje stečajnog postupka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2. Dostaviti radi obavijesti: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- Dužniku </w:t>
      </w:r>
      <w:r w:rsidR="00356E50">
        <w:rPr>
          <w:rFonts w:cs="Times New Roman" w:hAnsi="Times New Roman" w:ascii="Times New Roman"/>
          <w:sz w:val="20"/>
          <w:szCs w:val="20"/>
        </w:rPr>
        <w:t>izravno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</w:p>
    <w:p w:rsidRDefault="0041595B" w:rsidP="0041595B" w:rsidR="0041595B">
      <w:pPr>
        <w:pStyle w:val="Bezproreda"/>
        <w:jc w:val="both"/>
        <w:rPr>
          <w:sz w:val="20"/>
          <w:szCs w:val="20"/>
        </w:rPr>
      </w:pPr>
    </w:p>
    <w:p w:rsidRDefault="0041595B" w:rsidP="0041595B" w:rsidR="0041595B">
      <w:pPr>
        <w:pStyle w:val="Bezproreda"/>
        <w:jc w:val="both"/>
      </w:pPr>
    </w:p>
    <w:p w:rsidRDefault="00DB052E" w:rsidP="0041595B" w:rsidR="00DB052E" w:rsidRPr="0041595B"/>
    <w:sectPr w:rsidR="00DB052E" w:rsidRPr="0041595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A0C" w:rsidP="009C2470" w:rsidR="008C1A0C">
      <w:pPr>
        <w:spacing w:lineRule="auto" w:line="240" w:after="0"/>
      </w:pPr>
      <w:r>
        <w:separator/>
      </w:r>
    </w:p>
  </w:endnote>
  <w:endnote w:id="0" w:type="continuationSeparator">
    <w:p w:rsidRDefault="008C1A0C" w:rsidP="009C2470" w:rsidR="008C1A0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A0C" w:rsidP="009C2470" w:rsidR="008C1A0C">
      <w:pPr>
        <w:spacing w:lineRule="auto" w:line="240" w:after="0"/>
      </w:pPr>
      <w:r>
        <w:separator/>
      </w:r>
    </w:p>
  </w:footnote>
  <w:footnote w:id="0" w:type="continuationSeparator">
    <w:p w:rsidRDefault="008C1A0C" w:rsidP="009C2470" w:rsidR="008C1A0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470" w:rsidP="009C2470" w:rsidR="009C2470">
    <w:pPr>
      <w:pStyle w:val="Zaglavlje"/>
      <w:jc w:val="right"/>
    </w:pPr>
    <w:r>
      <w:rPr>
        <w:rFonts w:cs="Times New Roman" w:hAnsi="Times New Roman" w:ascii="Times New Roman"/>
        <w:b/>
        <w:sz w:val="24"/>
        <w:szCs w:val="24"/>
      </w:rPr>
      <w:t>Broj: 7/St-</w:t>
    </w:r>
    <w:r w:rsidR="00175739">
      <w:rPr>
        <w:rFonts w:cs="Times New Roman" w:hAnsi="Times New Roman" w:ascii="Times New Roman"/>
        <w:b/>
        <w:sz w:val="24"/>
        <w:szCs w:val="24"/>
      </w:rPr>
      <w:t>744/2018-4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95B"/>
    <w:rsid w:val="000444BA"/>
    <w:rsid w:val="000C6D7E"/>
    <w:rsid w:val="00123290"/>
    <w:rsid w:val="00175739"/>
    <w:rsid w:val="00186A55"/>
    <w:rsid w:val="001D00A6"/>
    <w:rsid w:val="00205819"/>
    <w:rsid w:val="0035004F"/>
    <w:rsid w:val="00356E50"/>
    <w:rsid w:val="0041595B"/>
    <w:rsid w:val="00425F2F"/>
    <w:rsid w:val="004C7F82"/>
    <w:rsid w:val="005401D4"/>
    <w:rsid w:val="0067180A"/>
    <w:rsid w:val="006775CB"/>
    <w:rsid w:val="006D4389"/>
    <w:rsid w:val="006E59CC"/>
    <w:rsid w:val="0075342A"/>
    <w:rsid w:val="00767A60"/>
    <w:rsid w:val="008C1A0C"/>
    <w:rsid w:val="00902173"/>
    <w:rsid w:val="00945D51"/>
    <w:rsid w:val="00987C6F"/>
    <w:rsid w:val="009B0841"/>
    <w:rsid w:val="009C2470"/>
    <w:rsid w:val="00A03E7D"/>
    <w:rsid w:val="00BB5D1F"/>
    <w:rsid w:val="00C81B6E"/>
    <w:rsid w:val="00D147B3"/>
    <w:rsid w:val="00DA37D2"/>
    <w:rsid w:val="00DB052E"/>
    <w:rsid w:val="00DC6C9B"/>
    <w:rsid w:val="00E360A8"/>
    <w:rsid w:val="00E447AC"/>
    <w:rsid w:val="00EC2D29"/>
    <w:rsid w:val="00F44327"/>
    <w:rsid w:val="00FA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59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EC2D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D2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D29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D2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D2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59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EC2D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D2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D29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D2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D2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886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St-744/2018</izvorni_sadrzaj>
    <derivirana_varijabla naziv="DomainObject.Predmet.OznakaBroj_1">St-744/2018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KERAMIKA KARAČIĆ d.o.o.</izvorni_sadrzaj>
    <derivirana_varijabla naziv="DomainObject.Predmet.ProtustrankaFormated_1">  KERAMIKA KARAČIĆ d.o.o.</derivirana_varijabla>
  </DomainObject.Predmet.ProtustrankaFormated>
  <DomainObject.Predmet.ProtustrankaFormatedOIB>
    <izvorni_sadrzaj>  KERAMIKA KARAČIĆ d.o.o., OIB 77735103030</izvorni_sadrzaj>
    <derivirana_varijabla naziv="DomainObject.Predmet.ProtustrankaFormatedOIB_1">  KERAMIKA KARAČIĆ d.o.o., OIB 77735103030</derivirana_varijabla>
  </DomainObject.Predmet.ProtustrankaFormatedOIB>
  <DomainObject.Predmet.ProtustrankaFormatedWithAdress>
    <izvorni_sadrzaj> KERAMIKA KARAČIĆ d.o.o., Teslićka 69, 10000 Zagreb</izvorni_sadrzaj>
    <derivirana_varijabla naziv="DomainObject.Predmet.ProtustrankaFormatedWithAdress_1"> KERAMIKA KARAČIĆ d.o.o., Teslićka 69, 10000 Zagreb</derivirana_varijabla>
  </DomainObject.Predmet.ProtustrankaFormatedWithAdress>
  <DomainObject.Predmet.ProtustrankaFormatedWithAdressOIB>
    <izvorni_sadrzaj> KERAMIKA KARAČIĆ d.o.o., OIB 77735103030, Teslićka 69, 10000 Zagreb</izvorni_sadrzaj>
    <derivirana_varijabla naziv="DomainObject.Predmet.ProtustrankaFormatedWithAdressOIB_1"> KERAMIKA KARAČIĆ d.o.o., OIB 77735103030, Teslićka 69, 10000 Zagreb</derivirana_varijabla>
  </DomainObject.Predmet.ProtustrankaFormatedWithAdressOIB>
  <DomainObject.Predmet.ProtustrankaWithAdress>
    <izvorni_sadrzaj>KERAMIKA KARAČIĆ d.o.o. Teslićka 69, 10000 Zagreb</izvorni_sadrzaj>
    <derivirana_varijabla naziv="DomainObject.Predmet.ProtustrankaWithAdress_1">KERAMIKA KARAČIĆ d.o.o. Teslićka 69, 10000 Zagreb</derivirana_varijabla>
  </DomainObject.Predmet.ProtustrankaWithAdress>
  <DomainObject.Predmet.ProtustrankaWithAdressOIB>
    <izvorni_sadrzaj>KERAMIKA KARAČIĆ d.o.o., OIB 77735103030, Teslićka 69, 10000 Zagreb</izvorni_sadrzaj>
    <derivirana_varijabla naziv="DomainObject.Predmet.ProtustrankaWithAdressOIB_1">KERAMIKA KARAČIĆ d.o.o., OIB 77735103030, Teslićka 69, 10000 Zagreb</derivirana_varijabla>
  </DomainObject.Predmet.ProtustrankaWithAdressOIB>
  <DomainObject.Predmet.ProtustrankaNazivFormated>
    <izvorni_sadrzaj>KERAMIKA KARAČIĆ d.o.o.</izvorni_sadrzaj>
    <derivirana_varijabla naziv="DomainObject.Predmet.ProtustrankaNazivFormated_1">KERAMIKA KARAČIĆ d.o.o.</derivirana_varijabla>
  </DomainObject.Predmet.ProtustrankaNazivFormated>
  <DomainObject.Predmet.ProtustrankaNazivFormatedOIB>
    <izvorni_sadrzaj>KERAMIKA KARAČIĆ d.o.o., OIB 77735103030</izvorni_sadrzaj>
    <derivirana_varijabla naziv="DomainObject.Predmet.ProtustrankaNazivFormatedOIB_1">KERAMIKA KARAČIĆ d.o.o., OIB 77735103030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KERAMIKA KARAČIĆ d.o.o.</item>
    </izvorni_sadrzaj>
    <derivirana_varijabla naziv="DomainObject.Predmet.ProtuStrankaListFormated_1">
      <item>KERAMIKA KARAČIĆ d.o.o.</item>
    </derivirana_varijabla>
  </DomainObject.Predmet.ProtuStrankaListFormated>
  <DomainObject.Predmet.ProtuStrankaListFormatedOIB>
    <izvorni_sadrzaj>
      <item>KERAMIKA KARAČIĆ d.o.o., OIB 77735103030</item>
    </izvorni_sadrzaj>
    <derivirana_varijabla naziv="DomainObject.Predmet.ProtuStrankaListFormatedOIB_1">
      <item>KERAMIKA KARAČIĆ d.o.o., OIB 77735103030</item>
    </derivirana_varijabla>
  </DomainObject.Predmet.ProtuStrankaListFormatedOIB>
  <DomainObject.Predmet.ProtuStrankaListFormatedWithAdress>
    <izvorni_sadrzaj>
      <item>KERAMIKA KARAČIĆ d.o.o., Teslićka 69, 10000 Zagreb</item>
    </izvorni_sadrzaj>
    <derivirana_varijabla naziv="DomainObject.Predmet.ProtuStrankaListFormatedWithAdress_1">
      <item>KERAMIKA KARAČIĆ d.o.o., Teslićka 69, 10000 Zagreb</item>
    </derivirana_varijabla>
  </DomainObject.Predmet.ProtuStrankaListFormatedWithAdress>
  <DomainObject.Predmet.ProtuStrankaListFormatedWithAdressOIB>
    <izvorni_sadrzaj>
      <item>KERAMIKA KARAČIĆ d.o.o., OIB 77735103030, Teslićka 69, 10000 Zagreb</item>
    </izvorni_sadrzaj>
    <derivirana_varijabla naziv="DomainObject.Predmet.ProtuStrankaListFormatedWithAdressOIB_1">
      <item>KERAMIKA KARAČIĆ d.o.o., OIB 77735103030, Teslićka 69, 10000 Zagreb</item>
    </derivirana_varijabla>
  </DomainObject.Predmet.ProtuStrankaListFormatedWithAdressOIB>
  <DomainObject.Predmet.ProtuStrankaListNazivFormated>
    <izvorni_sadrzaj>
      <item>KERAMIKA KARAČIĆ d.o.o.</item>
    </izvorni_sadrzaj>
    <derivirana_varijabla naziv="DomainObject.Predmet.ProtuStrankaListNazivFormated_1">
      <item>KERAMIKA KARAČIĆ d.o.o.</item>
    </derivirana_varijabla>
  </DomainObject.Predmet.ProtuStrankaListNazivFormated>
  <DomainObject.Predmet.ProtuStrankaListNazivFormatedOIB>
    <izvorni_sadrzaj>
      <item>KERAMIKA KARAČIĆ d.o.o., OIB 77735103030</item>
    </izvorni_sadrzaj>
    <derivirana_varijabla naziv="DomainObject.Predmet.ProtuStrankaListNazivFormatedOIB_1">
      <item>KERAMIKA KARAČIĆ d.o.o., OIB 77735103030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KERAMIKA KARAČIĆ d.o.o.</izvorni_sadrzaj>
    <derivirana_varijabla naziv="DomainObject.Predmet.ProtustrankaIDrugi_1">KERAMIKA KARAČIĆ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KERAMIKA KARAČIĆ d.o.o., OIB 77735103030, Teslićka 69, 10000 Zagreb</izvorni_sadrzaj>
    <derivirana_varijabla naziv="DomainObject.Predmet.ProtustrankaIDrugiAdressOIB_1">KERAMIKA KARAČIĆ d.o.o., OIB 77735103030, Teslićka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KERAMIKA KARAČIĆ d.o.o.</item>
      <item>FINA Regionalni centar Zagreb</item>
    </izvorni_sadrzaj>
    <derivirana_varijabla naziv="DomainObject.Predmet.SudioniciListNaziv_1">
      <item>KERAMIKA KARAČIĆ d.o.o.</item>
      <item>FINA Regionalni centar Zagreb</item>
    </derivirana_varijabla>
  </DomainObject.Predmet.SudioniciListNaziv>
  <DomainObject.Predmet.SudioniciListAdressOIB>
    <izvorni_sadrzaj>
      <item>KERAMIKA KARAČIĆ d.o.o., OIB 77735103030, Teslićka 69,10000 Zagreb</item>
      <item>FINA Regionalni centar Zagreb, OIB 85821130368, Trg svibanjskih žrtava 1995. 1,10000 Zagreb</item>
    </izvorni_sadrzaj>
    <derivirana_varijabla naziv="DomainObject.Predmet.SudioniciListAdressOIB_1">
      <item>KERAMIKA KARAČIĆ d.o.o., OIB 77735103030, Teslićka 69,10000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77735103030</item>
      <item>, OIB 85821130368</item>
    </izvorni_sadrzaj>
    <derivirana_varijabla naziv="DomainObject.Predmet.SudioniciListNazivOIB_1">
      <item>, OIB 77735103030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486</properties:Words>
  <properties:Characters>2712</properties:Characters>
  <properties:Lines>77</properties:Lines>
  <properties:Paragraphs>29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2018-11-13T12:22:00Z</dcterms:created>
  <dc:creator>wsadmin</dc:creator>
  <cp:lastModifiedBy>wsadmin</cp:lastModifiedBy>
  <cp:lastPrinted>2018-11-13T12:37:00Z</cp:lastPrinted>
  <dcterms:modified xmlns:xsi="http://www.w3.org/2001/XMLSchema-instance" xsi:type="dcterms:W3CDTF">2018-11-14T10:04:00Z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(st-744-2018-RJEŠENJE PRETHODNI ZAGREBAČKI 14.11.2018..docx)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