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d22b" w14:paraId="c39d22b" w:rsidRDefault="00C27EDF" w:rsidP="00C27EDF" w:rsidR="00C27ED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EDF" w:rsidP="00C27EDF" w:rsidR="00C27EDF" w:rsidRPr="002036F3">
      <w:r w:rsidRPr="002036F3">
        <w:t>REPUBLIKA HRVATSKA</w:t>
      </w:r>
    </w:p>
    <w:p w:rsidRDefault="00C27EDF" w:rsidP="00C27EDF" w:rsidR="00C27EDF" w:rsidRPr="002036F3">
      <w:r w:rsidRPr="002036F3">
        <w:t>TRGOVAČKI SUD U ZAGREBU</w:t>
      </w:r>
    </w:p>
    <w:p w:rsidRDefault="00C27EDF" w:rsidP="00C27EDF" w:rsidR="00C27EDF">
      <w:r w:rsidRPr="002036F3">
        <w:t xml:space="preserve">Zagreb, Amruševa 2/II     </w:t>
      </w:r>
      <w:r w:rsidRPr="002036F3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8C3AB4">
        <w:t xml:space="preserve">                           </w:t>
      </w:r>
      <w:r w:rsidRPr="0063308C">
        <w:t>72 St-</w:t>
      </w:r>
      <w:r>
        <w:t>6281/2016</w:t>
      </w:r>
      <w:r w:rsidR="00204B3B">
        <w:t>-16</w:t>
      </w:r>
    </w:p>
    <w:p w:rsidRDefault="00C27EDF" w:rsidP="00C27EDF" w:rsidR="00C27EDF" w:rsidRPr="0063308C"/>
    <w:p w:rsidRDefault="00C27EDF" w:rsidP="00C27EDF" w:rsidR="00C27EDF">
      <w:pPr>
        <w:jc w:val="center"/>
      </w:pPr>
      <w:r>
        <w:t>U IME REPUBLIKE HRVATSKE</w:t>
      </w:r>
    </w:p>
    <w:p w:rsidRDefault="00C27EDF" w:rsidP="00C27EDF" w:rsidR="00C27EDF" w:rsidRPr="0063308C">
      <w:pPr>
        <w:jc w:val="center"/>
      </w:pPr>
      <w:r w:rsidRPr="0063308C">
        <w:t>R J E Š E NJ E</w:t>
      </w:r>
    </w:p>
    <w:p w:rsidRDefault="00C27EDF" w:rsidP="00C27EDF" w:rsidR="00C27EDF" w:rsidRPr="00B5073B">
      <w:pPr>
        <w:jc w:val="both"/>
      </w:pPr>
    </w:p>
    <w:p w:rsidRDefault="00C27EDF" w:rsidP="00C27EDF" w:rsidR="00C27EDF">
      <w:pPr>
        <w:jc w:val="both"/>
      </w:pPr>
      <w:r w:rsidRPr="008953EC">
        <w:t xml:space="preserve">Trgovački sud u Zagrebu, po sucu Nikoli Ribariću, u postupku predstečajne nagodbe u povodu prijedloga dužnika </w:t>
      </w:r>
      <w:r>
        <w:rPr>
          <w:lang w:val="pt-BR"/>
        </w:rPr>
        <w:t xml:space="preserve">VOĆNI VRT d.o.o., Zagreb, Heinzelova 47/A, OIB: 43365110112, </w:t>
      </w:r>
      <w:r>
        <w:t>dana 31.</w:t>
      </w:r>
      <w:r w:rsidR="00204B3B">
        <w:t xml:space="preserve"> </w:t>
      </w:r>
      <w:r>
        <w:t>s</w:t>
      </w:r>
      <w:r w:rsidR="00204B3B">
        <w:t>iječnja</w:t>
      </w:r>
      <w:r>
        <w:t xml:space="preserve"> 2017. godine </w:t>
      </w:r>
    </w:p>
    <w:p w:rsidRDefault="009E34B4" w:rsidP="009E34B4" w:rsidR="009E34B4">
      <w:pPr>
        <w:jc w:val="both"/>
      </w:pPr>
    </w:p>
    <w:p w:rsidRDefault="009E34B4" w:rsidP="009E34B4" w:rsidR="009E34B4">
      <w:pPr>
        <w:jc w:val="center"/>
      </w:pPr>
      <w:r>
        <w:t>r i j e š i o   j e</w:t>
      </w:r>
    </w:p>
    <w:p w:rsidRDefault="00B70667" w:rsidP="00B70667" w:rsidR="00B70667" w:rsidRPr="00E86983">
      <w:r w:rsidRPr="00E86983">
        <w:t xml:space="preserve">Odobrava se sklapanje sljedeće: </w:t>
      </w:r>
    </w:p>
    <w:p w:rsidRDefault="00B70667" w:rsidP="00B70667" w:rsidR="00B70667" w:rsidRPr="00E86983"/>
    <w:p w:rsidRDefault="00D74A9A" w:rsidP="00F36619" w:rsidR="00B70667">
      <w:pPr>
        <w:ind w:firstLine="708" w:left="2124"/>
      </w:pPr>
      <w:r>
        <w:t xml:space="preserve">            </w:t>
      </w:r>
      <w:r w:rsidR="00B70667" w:rsidRPr="00E86983">
        <w:t>PREDSTEČAJNE NAGODBE</w:t>
      </w:r>
    </w:p>
    <w:p w:rsidRDefault="00C27EDF" w:rsidP="00F36619" w:rsidR="00C27EDF">
      <w:pPr>
        <w:ind w:firstLine="708" w:left="2124"/>
      </w:pPr>
    </w:p>
    <w:p w:rsidRDefault="00D74A9A" w:rsidP="00F36619" w:rsidR="00D74A9A">
      <w:pPr>
        <w:ind w:firstLine="708" w:left="2124"/>
      </w:pPr>
    </w:p>
    <w:p w:rsidRDefault="00C27EDF" w:rsidP="00C27EDF" w:rsidR="00C27EDF">
      <w:r>
        <w:t>Ova Predstečajna nagodba sklapa se između Dužnika VOĆNI VRT d.o.o. sa sjedištem u Zagrebu, Heinzelova 47/A , 018: 43365110112 (u daljnjem tekstu :Dužnik) i sljedećih Vjerovnika predstečajne nagodbe (u daljnjem tekstu: Vjerovnici) :</w:t>
      </w:r>
    </w:p>
    <w:p w:rsidRDefault="00C27EDF" w:rsidP="00C27EDF" w:rsidR="00C27EDF"/>
    <w:p w:rsidRDefault="00C27EDF" w:rsidP="00C27EDF" w:rsidR="00C27EDF">
      <w:r>
        <w:t xml:space="preserve"> </w:t>
      </w:r>
    </w:p>
    <w:p w:rsidRDefault="00C27EDF" w:rsidP="00C27EDF" w:rsidR="00C27EDF">
      <w:r>
        <w:t xml:space="preserve">a) Ministarstvo financija-Porezna  uprava, 8oškovićeva 5, Zagreb, OIB: 18683136487 </w:t>
      </w:r>
    </w:p>
    <w:p w:rsidRDefault="00C27EDF" w:rsidP="00C27EDF" w:rsidR="00C27EDF">
      <w:r>
        <w:t>b) Republika Hrvatska, zastupana po Županijskom državnom odvjetništvu u Zagrebu,</w:t>
      </w:r>
    </w:p>
    <w:p w:rsidRDefault="00C27EDF" w:rsidP="00C27EDF" w:rsidR="00C27EDF">
      <w:r>
        <w:t xml:space="preserve">    OIB: 52634238587                            </w:t>
      </w:r>
    </w:p>
    <w:p w:rsidRDefault="00C27EDF" w:rsidP="00C27EDF" w:rsidR="00C27EDF">
      <w:r>
        <w:t>c) Prigan Holdings Ltd., 17 Gr. Xenopoulou street, Totalserve House, 3106, Limassol, Cipar</w:t>
      </w:r>
    </w:p>
    <w:p w:rsidRDefault="00C27EDF" w:rsidP="00C27EDF" w:rsidR="00C27EDF">
      <w:r>
        <w:t xml:space="preserve">    OIB: 09084738471 </w:t>
      </w:r>
    </w:p>
    <w:p w:rsidRDefault="00C27EDF" w:rsidP="00C27EDF" w:rsidR="00C27EDF">
      <w:r>
        <w:t xml:space="preserve"> </w:t>
      </w:r>
    </w:p>
    <w:p w:rsidRDefault="00C27EDF" w:rsidP="00C27EDF" w:rsidR="00C27EDF"/>
    <w:p w:rsidRDefault="00C27EDF" w:rsidP="00C27EDF" w:rsidR="00C27EDF"/>
    <w:p w:rsidRDefault="00C27EDF" w:rsidP="00C27EDF" w:rsidR="00C27EDF">
      <w:pPr>
        <w:jc w:val="center"/>
      </w:pPr>
      <w:r>
        <w:t>Članak I.</w:t>
      </w:r>
    </w:p>
    <w:p w:rsidRDefault="00C27EDF" w:rsidP="00C27EDF" w:rsidR="00C27EDF"/>
    <w:p w:rsidRDefault="00C27EDF" w:rsidP="00C27EDF" w:rsidR="00C27EDF">
      <w:r>
        <w:t>UVODNE ODREDBE</w:t>
      </w:r>
    </w:p>
    <w:p w:rsidRDefault="00C27EDF" w:rsidP="00C27EDF" w:rsidR="00C27EDF"/>
    <w:p w:rsidRDefault="00C27EDF" w:rsidP="00C27EDF" w:rsidR="00C27EDF">
      <w:r>
        <w:t>Dužnik i Vjerovnici suglasno utvrđuju kako je :</w:t>
      </w:r>
    </w:p>
    <w:p w:rsidRDefault="00C27EDF" w:rsidP="00C27EDF" w:rsidR="00C27EDF">
      <w:r>
        <w:t xml:space="preserve"> </w:t>
      </w:r>
    </w:p>
    <w:p w:rsidRDefault="00C27EDF" w:rsidP="00C27EDF" w:rsidR="00C27EDF">
      <w:r>
        <w:t>•</w:t>
      </w:r>
      <w:r>
        <w:tab/>
        <w:t>Dužnik dana 27.07.2015 . godine podnio prijedlog za otvaranje postupka predstečajne nagodbe pred Financijskom agencijom, Regionalni centar Zagreb, Nagodbeno vijeće ZG01 te kako je dana 25.11.2015. godine Nagodbeno vijeće ZG01 donijelo rješenje Klasa: UP - 1/110/07/15-01/8364, Ur. br: 04-06-15-8364-17, kojim je nad Dužnikom otvoren postupak predstečajne nagodbe.</w:t>
      </w:r>
    </w:p>
    <w:p w:rsidRDefault="00C27EDF" w:rsidP="00C27EDF" w:rsidR="00C27EDF"/>
    <w:p w:rsidRDefault="00C27EDF" w:rsidP="00C27EDF" w:rsidR="00C27EDF">
      <w:r>
        <w:t>• Nagodbeno vijeće ZG07 Rješenjem Klasa: UP - 1/110/07/15-01/8364 Ur.br: 04-06-16-8364-53 od dana 01.08 .2016 . godine, koje je ispravljene Rješenjem od 09.08.2016., Klasa: UP-1/110/07/15-01/8364, Ur.br. 04-06-16-8364-55, utvrdilo ukupni iznos utvrđenih tražbina za koje Vjerovnici imaju pravo glasa u iznosu od 14.272.293,77 kn i to:</w:t>
      </w:r>
    </w:p>
    <w:p w:rsidRDefault="00C27EDF" w:rsidP="00C27EDF" w:rsidR="00C27EDF"/>
    <w:tbl>
      <w:tblPr>
        <w:tblStyle w:val="TableNormal"/>
        <w:tblW w:type="auto" w:w="0"/>
        <w:tblInd w:type="dxa" w:w="8"/>
        <w:tblLayout w:type="fixed"/>
        <w:tblLook w:val="01E0" w:noVBand="0" w:noHBand="0" w:lastColumn="1" w:firstColumn="1" w:lastRow="1" w:firstRow="1"/>
      </w:tblPr>
      <w:tblGrid>
        <w:gridCol w:w="554"/>
        <w:gridCol w:w="1334"/>
        <w:gridCol w:w="2692"/>
        <w:gridCol w:w="1619"/>
        <w:gridCol w:w="502"/>
        <w:gridCol w:w="1975"/>
      </w:tblGrid>
      <w:tr w:rsidTr="004C40C4" w:rsidR="00C27EDF">
        <w:trPr>
          <w:trHeight w:hRule="exact" w:val="1495"/>
        </w:trPr>
        <w:tc>
          <w:tcPr>
            <w:tcW w:type="dxa" w:w="554"/>
            <w:tcBorders>
              <w:top w:space="0" w:sz="4" w:color="777480" w:val="single"/>
              <w:left w:space="0" w:sz="6" w:color="4F4B54" w:val="single"/>
              <w:bottom w:space="0" w:sz="6" w:color="70777C" w:val="single"/>
              <w:right w:space="0" w:sz="4" w:color="3F3B44" w:val="single"/>
            </w:tcBorders>
          </w:tcPr>
          <w:p w:rsidRDefault="00C27EDF" w:rsidP="004C40C4" w:rsidR="00C27EDF">
            <w:pPr>
              <w:pStyle w:val="TableParagraph"/>
              <w:spacing w:before="2"/>
              <w:ind w:left="107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b/>
                <w:color w:val="3F3F46"/>
                <w:w w:val="90"/>
                <w:sz w:val="21"/>
              </w:rPr>
              <w:lastRenderedPageBreak/>
              <w:t>Rbr.</w:t>
            </w:r>
          </w:p>
        </w:tc>
        <w:tc>
          <w:tcPr>
            <w:tcW w:type="dxa" w:w="1334"/>
            <w:tcBorders>
              <w:top w:space="0" w:sz="4" w:color="777480" w:val="single"/>
              <w:left w:space="0" w:sz="4" w:color="3F3B44" w:val="single"/>
              <w:bottom w:space="0" w:sz="6" w:color="70777C" w:val="single"/>
              <w:right w:space="0" w:sz="4" w:color="4F4F54" w:val="single"/>
            </w:tcBorders>
          </w:tcPr>
          <w:p w:rsidRDefault="00C27EDF" w:rsidP="004C40C4" w:rsidR="00C27EDF">
            <w:pPr>
              <w:pStyle w:val="TableParagraph"/>
              <w:spacing w:before="2"/>
              <w:ind w:left="107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b/>
                <w:color w:val="3F3F46"/>
                <w:sz w:val="21"/>
              </w:rPr>
              <w:t>018</w:t>
            </w:r>
          </w:p>
          <w:p w:rsidRDefault="00C27EDF" w:rsidP="004C40C4" w:rsidR="00C27EDF">
            <w:pPr>
              <w:pStyle w:val="TableParagraph"/>
              <w:spacing w:before="133"/>
              <w:ind w:left="103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b/>
                <w:color w:val="3F3F46"/>
                <w:w w:val="90"/>
                <w:sz w:val="21"/>
              </w:rPr>
              <w:t>vjerovnika</w:t>
            </w:r>
          </w:p>
        </w:tc>
        <w:tc>
          <w:tcPr>
            <w:tcW w:type="dxa" w:w="2692"/>
            <w:tcBorders>
              <w:top w:space="0" w:sz="4" w:color="777480" w:val="single"/>
              <w:left w:space="0" w:sz="4" w:color="4F4F54" w:val="single"/>
              <w:bottom w:space="0" w:sz="6" w:color="70777C" w:val="single"/>
              <w:right w:space="0" w:sz="6" w:color="67676B" w:val="single"/>
            </w:tcBorders>
          </w:tcPr>
          <w:p w:rsidRDefault="00C27EDF" w:rsidP="004C40C4" w:rsidR="00C27EDF">
            <w:pPr>
              <w:pStyle w:val="TableParagraph"/>
              <w:spacing w:before="7"/>
              <w:ind w:left="112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b/>
                <w:color w:val="3F3F46"/>
                <w:w w:val="80"/>
                <w:sz w:val="21"/>
              </w:rPr>
              <w:t>Naziv</w:t>
            </w:r>
            <w:r>
              <w:rPr>
                <w:rFonts w:ascii="Arial"/>
                <w:b/>
                <w:color w:val="3F3F46"/>
                <w:spacing w:val="23"/>
                <w:w w:val="80"/>
                <w:sz w:val="21"/>
              </w:rPr>
              <w:t xml:space="preserve"> </w:t>
            </w:r>
            <w:r>
              <w:rPr>
                <w:rFonts w:ascii="Arial"/>
                <w:b/>
                <w:color w:val="3F3F46"/>
                <w:w w:val="80"/>
                <w:sz w:val="21"/>
              </w:rPr>
              <w:t>vjerovnika</w:t>
            </w:r>
          </w:p>
        </w:tc>
        <w:tc>
          <w:tcPr>
            <w:tcW w:type="dxa" w:w="2121"/>
            <w:gridSpan w:val="2"/>
            <w:tcBorders>
              <w:top w:space="0" w:sz="4" w:color="777480" w:val="single"/>
              <w:left w:space="0" w:sz="6" w:color="67676B" w:val="single"/>
              <w:bottom w:space="0" w:sz="6" w:color="70777C" w:val="single"/>
              <w:right w:space="0" w:sz="4" w:color="4F4B5B" w:val="single"/>
            </w:tcBorders>
          </w:tcPr>
          <w:p w:rsidRDefault="00C27EDF" w:rsidP="004C40C4" w:rsidR="00C27EDF">
            <w:pPr>
              <w:pStyle w:val="TableParagraph"/>
              <w:spacing w:lineRule="auto" w:line="367" w:before="7"/>
              <w:ind w:firstLine="14" w:right="770" w:left="100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b/>
                <w:color w:val="3F3F46"/>
                <w:w w:val="80"/>
                <w:sz w:val="21"/>
              </w:rPr>
              <w:t>Iznos</w:t>
            </w:r>
            <w:r>
              <w:rPr>
                <w:rFonts w:hAnsi="Arial" w:ascii="Arial"/>
                <w:b/>
                <w:color w:val="3F3F46"/>
                <w:spacing w:val="21"/>
                <w:w w:val="80"/>
                <w:sz w:val="21"/>
              </w:rPr>
              <w:t xml:space="preserve"> </w:t>
            </w:r>
            <w:r>
              <w:rPr>
                <w:rFonts w:hAnsi="Arial" w:ascii="Arial"/>
                <w:b/>
                <w:color w:val="3F3F46"/>
                <w:w w:val="80"/>
                <w:sz w:val="21"/>
              </w:rPr>
              <w:t>utvrđene</w:t>
            </w:r>
            <w:r>
              <w:rPr>
                <w:rFonts w:hAnsi="Arial" w:ascii="Arial"/>
                <w:b/>
                <w:color w:val="3F3F46"/>
                <w:w w:val="81"/>
                <w:sz w:val="21"/>
              </w:rPr>
              <w:t xml:space="preserve"> </w:t>
            </w:r>
            <w:r>
              <w:rPr>
                <w:rFonts w:hAnsi="Arial" w:ascii="Arial"/>
                <w:b/>
                <w:color w:val="3F3F46"/>
                <w:w w:val="85"/>
                <w:sz w:val="21"/>
              </w:rPr>
              <w:t>tražbine</w:t>
            </w:r>
            <w:r>
              <w:rPr>
                <w:rFonts w:hAnsi="Arial" w:ascii="Arial"/>
                <w:b/>
                <w:color w:val="3F3F46"/>
                <w:spacing w:val="-4"/>
                <w:w w:val="85"/>
                <w:sz w:val="21"/>
              </w:rPr>
              <w:t xml:space="preserve"> </w:t>
            </w:r>
            <w:r>
              <w:rPr>
                <w:rFonts w:hAnsi="Arial" w:ascii="Arial"/>
                <w:b/>
                <w:color w:val="3F3F46"/>
                <w:w w:val="85"/>
                <w:sz w:val="21"/>
              </w:rPr>
              <w:t>u</w:t>
            </w:r>
            <w:r>
              <w:rPr>
                <w:rFonts w:hAnsi="Arial" w:ascii="Arial"/>
                <w:b/>
                <w:color w:val="3F3F46"/>
                <w:spacing w:val="-15"/>
                <w:w w:val="85"/>
                <w:sz w:val="21"/>
              </w:rPr>
              <w:t xml:space="preserve"> </w:t>
            </w:r>
            <w:r>
              <w:rPr>
                <w:rFonts w:hAnsi="Arial" w:ascii="Arial"/>
                <w:b/>
                <w:color w:val="3F3F46"/>
                <w:w w:val="85"/>
                <w:sz w:val="21"/>
              </w:rPr>
              <w:t>kn</w:t>
            </w:r>
          </w:p>
        </w:tc>
        <w:tc>
          <w:tcPr>
            <w:tcW w:type="dxa" w:w="1975"/>
            <w:tcBorders>
              <w:top w:space="0" w:sz="4" w:color="777480" w:val="single"/>
              <w:left w:space="0" w:sz="4" w:color="4F4B5B" w:val="single"/>
              <w:bottom w:space="0" w:sz="6" w:color="70777C" w:val="single"/>
              <w:right w:space="0" w:sz="4" w:color="auto" w:val="single"/>
            </w:tcBorders>
          </w:tcPr>
          <w:p w:rsidRDefault="00C27EDF" w:rsidP="004C40C4" w:rsidR="00C27EDF">
            <w:pPr>
              <w:pStyle w:val="TableParagraph"/>
              <w:spacing w:lineRule="auto" w:line="368" w:before="7"/>
              <w:ind w:firstLine="14" w:right="853" w:left="98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b/>
                <w:color w:val="3F3F46"/>
                <w:w w:val="80"/>
                <w:sz w:val="21"/>
              </w:rPr>
              <w:t>Postotak</w:t>
            </w:r>
            <w:r>
              <w:rPr>
                <w:rFonts w:hAnsi="Arial" w:ascii="Arial"/>
                <w:b/>
                <w:color w:val="3F3F46"/>
                <w:spacing w:val="23"/>
                <w:w w:val="80"/>
                <w:sz w:val="21"/>
              </w:rPr>
              <w:t xml:space="preserve"> </w:t>
            </w:r>
            <w:r>
              <w:rPr>
                <w:rFonts w:hAnsi="Arial" w:ascii="Arial"/>
                <w:b/>
                <w:color w:val="3F3F46"/>
                <w:w w:val="80"/>
                <w:sz w:val="21"/>
              </w:rPr>
              <w:t>od</w:t>
            </w:r>
            <w:r>
              <w:rPr>
                <w:rFonts w:hAnsi="Arial" w:ascii="Arial"/>
                <w:b/>
                <w:color w:val="3F3F46"/>
                <w:w w:val="79"/>
                <w:sz w:val="21"/>
              </w:rPr>
              <w:t xml:space="preserve"> </w:t>
            </w:r>
            <w:r>
              <w:rPr>
                <w:rFonts w:hAnsi="Arial" w:ascii="Arial"/>
                <w:b/>
                <w:color w:val="3F3F46"/>
                <w:w w:val="90"/>
                <w:sz w:val="21"/>
              </w:rPr>
              <w:t>ukupno</w:t>
            </w:r>
            <w:r>
              <w:rPr>
                <w:rFonts w:hAnsi="Arial" w:ascii="Arial"/>
                <w:b/>
                <w:color w:val="3F3F46"/>
                <w:w w:val="82"/>
                <w:sz w:val="21"/>
              </w:rPr>
              <w:t xml:space="preserve"> </w:t>
            </w:r>
            <w:r>
              <w:rPr>
                <w:rFonts w:hAnsi="Arial" w:ascii="Arial"/>
                <w:b/>
                <w:color w:val="3F3F46"/>
                <w:w w:val="90"/>
                <w:sz w:val="21"/>
              </w:rPr>
              <w:t>utvrđenih</w:t>
            </w:r>
            <w:r>
              <w:rPr>
                <w:rFonts w:hAnsi="Arial" w:ascii="Arial"/>
                <w:b/>
                <w:color w:val="3F3F46"/>
                <w:w w:val="81"/>
                <w:sz w:val="21"/>
              </w:rPr>
              <w:t xml:space="preserve"> </w:t>
            </w:r>
            <w:r>
              <w:rPr>
                <w:rFonts w:hAnsi="Arial" w:ascii="Arial"/>
                <w:b/>
                <w:color w:val="3F3F46"/>
                <w:w w:val="90"/>
                <w:sz w:val="21"/>
              </w:rPr>
              <w:t>tražbina</w:t>
            </w:r>
          </w:p>
        </w:tc>
      </w:tr>
      <w:tr w:rsidTr="004C40C4" w:rsidR="00C27EDF">
        <w:trPr>
          <w:trHeight w:hRule="exact" w:val="749"/>
        </w:trPr>
        <w:tc>
          <w:tcPr>
            <w:tcW w:type="dxa" w:w="554"/>
            <w:tcBorders>
              <w:top w:space="0" w:sz="6" w:color="70777C" w:val="single"/>
              <w:left w:space="0" w:sz="6" w:color="4F4B54" w:val="single"/>
              <w:bottom w:space="0" w:sz="6" w:color="6B7777" w:val="single"/>
              <w:right w:space="0" w:sz="4" w:color="3F3B44" w:val="single"/>
            </w:tcBorders>
          </w:tcPr>
          <w:p w:rsidRDefault="00C27EDF" w:rsidP="004C40C4" w:rsidR="00C27EDF">
            <w:pPr>
              <w:pStyle w:val="TableParagraph"/>
              <w:spacing w:lineRule="exact" w:line="239"/>
              <w:ind w:left="112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spacing w:val="-3"/>
                <w:w w:val="95"/>
                <w:sz w:val="21"/>
              </w:rPr>
              <w:t>1</w:t>
            </w:r>
            <w:r>
              <w:rPr>
                <w:rFonts w:ascii="Arial"/>
                <w:color w:val="6E6E75"/>
                <w:spacing w:val="-3"/>
                <w:w w:val="95"/>
                <w:sz w:val="21"/>
              </w:rPr>
              <w:t>.</w:t>
            </w:r>
          </w:p>
        </w:tc>
        <w:tc>
          <w:tcPr>
            <w:tcW w:type="dxa" w:w="1334"/>
            <w:tcBorders>
              <w:top w:space="0" w:sz="6" w:color="70777C" w:val="single"/>
              <w:left w:space="0" w:sz="4" w:color="3F3B44" w:val="single"/>
              <w:bottom w:space="0" w:sz="6" w:color="6B7777" w:val="single"/>
              <w:right w:space="0" w:sz="4" w:color="4F4F54" w:val="single"/>
            </w:tcBorders>
          </w:tcPr>
          <w:p w:rsidRDefault="00C27EDF" w:rsidP="004C40C4" w:rsidR="00C27EDF">
            <w:pPr>
              <w:pStyle w:val="TableParagraph"/>
              <w:spacing w:lineRule="exact" w:line="239"/>
              <w:ind w:left="136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85"/>
                <w:sz w:val="21"/>
              </w:rPr>
              <w:t>18683136487</w:t>
            </w:r>
          </w:p>
        </w:tc>
        <w:tc>
          <w:tcPr>
            <w:tcW w:type="dxa" w:w="2692"/>
            <w:tcBorders>
              <w:top w:space="0" w:sz="6" w:color="70777C" w:val="single"/>
              <w:left w:space="0" w:sz="4" w:color="4F4F54" w:val="single"/>
              <w:bottom w:space="0" w:sz="6" w:color="6B7777" w:val="single"/>
              <w:right w:space="0" w:sz="6" w:color="67676B" w:val="single"/>
            </w:tcBorders>
          </w:tcPr>
          <w:p w:rsidRDefault="00C27EDF" w:rsidP="004C40C4" w:rsidR="00C27EDF">
            <w:pPr>
              <w:pStyle w:val="TableParagraph"/>
              <w:spacing w:lineRule="auto" w:line="357" w:before="2"/>
              <w:ind w:right="251" w:left="112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80"/>
                <w:sz w:val="21"/>
              </w:rPr>
              <w:t>Ministarstvo</w:t>
            </w:r>
            <w:r>
              <w:rPr>
                <w:rFonts w:ascii="Arial"/>
                <w:color w:val="3F3F46"/>
                <w:spacing w:val="46"/>
                <w:w w:val="80"/>
                <w:sz w:val="21"/>
              </w:rPr>
              <w:t xml:space="preserve"> </w:t>
            </w:r>
            <w:r>
              <w:rPr>
                <w:rFonts w:ascii="Arial"/>
                <w:color w:val="3F3F46"/>
                <w:w w:val="80"/>
                <w:sz w:val="21"/>
              </w:rPr>
              <w:t>financija-Porezna</w:t>
            </w:r>
            <w:r>
              <w:rPr>
                <w:rFonts w:ascii="Arial"/>
                <w:color w:val="3F3F46"/>
                <w:w w:val="81"/>
                <w:sz w:val="21"/>
              </w:rPr>
              <w:t xml:space="preserve"> </w:t>
            </w:r>
            <w:r>
              <w:rPr>
                <w:rFonts w:ascii="Arial"/>
                <w:color w:val="3F3F46"/>
                <w:w w:val="90"/>
                <w:sz w:val="21"/>
              </w:rPr>
              <w:t>uprava</w:t>
            </w:r>
          </w:p>
        </w:tc>
        <w:tc>
          <w:tcPr>
            <w:tcW w:type="dxa" w:w="2121"/>
            <w:gridSpan w:val="2"/>
            <w:tcBorders>
              <w:top w:space="0" w:sz="6" w:color="70777C" w:val="single"/>
              <w:left w:space="0" w:sz="6" w:color="67676B" w:val="single"/>
              <w:bottom w:space="0" w:sz="6" w:color="6B7777" w:val="single"/>
              <w:right w:space="0" w:sz="4" w:color="4F4B5B" w:val="single"/>
            </w:tcBorders>
          </w:tcPr>
          <w:p w:rsidRDefault="00C27EDF" w:rsidP="004C40C4" w:rsidR="00C27EDF">
            <w:pPr>
              <w:pStyle w:val="TableParagraph"/>
              <w:spacing w:before="2"/>
              <w:ind w:left="105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80"/>
                <w:sz w:val="21"/>
              </w:rPr>
              <w:t>3.469.156,</w:t>
            </w:r>
            <w:r>
              <w:rPr>
                <w:rFonts w:ascii="Arial"/>
                <w:color w:val="3F3F46"/>
                <w:spacing w:val="-5"/>
                <w:w w:val="80"/>
                <w:sz w:val="21"/>
              </w:rPr>
              <w:t xml:space="preserve"> </w:t>
            </w:r>
            <w:r>
              <w:rPr>
                <w:rFonts w:ascii="Arial"/>
                <w:color w:val="3F3F46"/>
                <w:w w:val="80"/>
                <w:sz w:val="21"/>
              </w:rPr>
              <w:t>17</w:t>
            </w:r>
          </w:p>
        </w:tc>
        <w:tc>
          <w:tcPr>
            <w:tcW w:type="dxa" w:w="1975"/>
            <w:tcBorders>
              <w:top w:space="0" w:sz="6" w:color="70777C" w:val="single"/>
              <w:left w:space="0" w:sz="4" w:color="4F4B5B" w:val="single"/>
              <w:bottom w:space="0" w:sz="6" w:color="6B7777" w:val="single"/>
              <w:right w:space="0" w:sz="4" w:color="auto" w:val="single"/>
            </w:tcBorders>
          </w:tcPr>
          <w:p w:rsidRDefault="00C27EDF" w:rsidP="004C40C4" w:rsidR="00C27EDF">
            <w:pPr>
              <w:pStyle w:val="TableParagraph"/>
              <w:spacing w:before="2"/>
              <w:ind w:left="103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90"/>
                <w:sz w:val="21"/>
              </w:rPr>
              <w:t>24,31%</w:t>
            </w:r>
          </w:p>
        </w:tc>
      </w:tr>
      <w:tr w:rsidTr="004C40C4" w:rsidR="00C27EDF">
        <w:trPr>
          <w:trHeight w:hRule="exact" w:val="1123"/>
        </w:trPr>
        <w:tc>
          <w:tcPr>
            <w:tcW w:type="dxa" w:w="554"/>
            <w:tcBorders>
              <w:top w:space="0" w:sz="6" w:color="6B7777" w:val="single"/>
              <w:left w:space="0" w:sz="6" w:color="4F4B54" w:val="single"/>
              <w:bottom w:space="0" w:sz="6" w:color="747480" w:val="single"/>
              <w:right w:space="0" w:sz="4" w:color="3F3B44" w:val="single"/>
            </w:tcBorders>
          </w:tcPr>
          <w:p w:rsidRDefault="00C27EDF" w:rsidP="004C40C4" w:rsidR="00C27EDF">
            <w:pPr>
              <w:pStyle w:val="TableParagraph"/>
              <w:spacing w:lineRule="exact" w:line="239"/>
              <w:ind w:left="103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90"/>
                <w:sz w:val="21"/>
              </w:rPr>
              <w:t>2.</w:t>
            </w:r>
          </w:p>
        </w:tc>
        <w:tc>
          <w:tcPr>
            <w:tcW w:type="dxa" w:w="1334"/>
            <w:tcBorders>
              <w:top w:space="0" w:sz="6" w:color="6B7777" w:val="single"/>
              <w:left w:space="0" w:sz="4" w:color="3F3B44" w:val="single"/>
              <w:bottom w:space="0" w:sz="6" w:color="747480" w:val="single"/>
              <w:right w:space="0" w:sz="4" w:color="4F4F54" w:val="single"/>
            </w:tcBorders>
          </w:tcPr>
          <w:p w:rsidRDefault="00C27EDF" w:rsidP="004C40C4" w:rsidR="00C27EDF">
            <w:pPr>
              <w:pStyle w:val="TableParagraph"/>
              <w:spacing w:lineRule="exact" w:line="239"/>
              <w:ind w:left="127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85"/>
                <w:sz w:val="21"/>
              </w:rPr>
              <w:t>52634238587</w:t>
            </w:r>
          </w:p>
        </w:tc>
        <w:tc>
          <w:tcPr>
            <w:tcW w:type="dxa" w:w="2692"/>
            <w:tcBorders>
              <w:top w:space="0" w:sz="6" w:color="6B7777" w:val="single"/>
              <w:left w:space="0" w:sz="4" w:color="4F4F54" w:val="single"/>
              <w:bottom w:space="0" w:sz="6" w:color="747480" w:val="single"/>
              <w:right w:space="0" w:sz="6" w:color="67676B" w:val="single"/>
            </w:tcBorders>
          </w:tcPr>
          <w:p w:rsidRDefault="00C27EDF" w:rsidP="004C40C4" w:rsidR="00C27EDF">
            <w:pPr>
              <w:pStyle w:val="TableParagraph"/>
              <w:spacing w:lineRule="auto" w:line="369"/>
              <w:ind w:firstLine="9" w:right="148" w:left="103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hAnsi="Arial" w:ascii="Arial"/>
                <w:color w:val="3F3F46"/>
                <w:w w:val="80"/>
                <w:sz w:val="21"/>
              </w:rPr>
              <w:t xml:space="preserve">Republika </w:t>
            </w:r>
            <w:r>
              <w:rPr>
                <w:rFonts w:hAnsi="Arial" w:ascii="Arial"/>
                <w:color w:val="3F3F46"/>
                <w:spacing w:val="1"/>
                <w:w w:val="80"/>
                <w:sz w:val="21"/>
              </w:rPr>
              <w:t xml:space="preserve"> Hrvatska</w:t>
            </w:r>
            <w:r>
              <w:rPr>
                <w:rFonts w:hAnsi="Arial" w:ascii="Arial"/>
                <w:color w:val="6E6E75"/>
                <w:w w:val="80"/>
                <w:sz w:val="21"/>
              </w:rPr>
              <w:t>,</w:t>
            </w:r>
            <w:r>
              <w:rPr>
                <w:rFonts w:hAnsi="Arial" w:ascii="Arial"/>
                <w:color w:val="6E6E75"/>
                <w:spacing w:val="9"/>
                <w:w w:val="80"/>
                <w:sz w:val="21"/>
              </w:rPr>
              <w:t xml:space="preserve"> </w:t>
            </w:r>
            <w:r>
              <w:rPr>
                <w:rFonts w:hAnsi="Arial" w:ascii="Arial"/>
                <w:color w:val="54545D"/>
                <w:w w:val="80"/>
                <w:sz w:val="21"/>
              </w:rPr>
              <w:t>zastupana</w:t>
            </w:r>
            <w:r>
              <w:rPr>
                <w:rFonts w:hAnsi="Arial" w:ascii="Arial"/>
                <w:color w:val="54545D"/>
                <w:spacing w:val="27"/>
                <w:w w:val="81"/>
                <w:sz w:val="21"/>
              </w:rPr>
              <w:t xml:space="preserve"> </w:t>
            </w:r>
            <w:r>
              <w:rPr>
                <w:rFonts w:hAnsi="Arial" w:ascii="Arial"/>
                <w:color w:val="3F3F46"/>
                <w:w w:val="85"/>
                <w:sz w:val="21"/>
              </w:rPr>
              <w:t>po</w:t>
            </w:r>
            <w:r>
              <w:rPr>
                <w:rFonts w:hAnsi="Arial" w:ascii="Arial"/>
                <w:color w:val="3F3F46"/>
                <w:spacing w:val="-28"/>
                <w:w w:val="85"/>
                <w:sz w:val="21"/>
              </w:rPr>
              <w:t xml:space="preserve"> </w:t>
            </w:r>
            <w:r>
              <w:rPr>
                <w:rFonts w:hAnsi="Arial" w:ascii="Arial"/>
                <w:color w:val="3F3F46"/>
                <w:w w:val="85"/>
                <w:sz w:val="21"/>
              </w:rPr>
              <w:t>Županijskom</w:t>
            </w:r>
            <w:r>
              <w:rPr>
                <w:rFonts w:hAnsi="Arial" w:ascii="Arial"/>
                <w:color w:val="3F3F46"/>
                <w:spacing w:val="-22"/>
                <w:w w:val="85"/>
                <w:sz w:val="21"/>
              </w:rPr>
              <w:t xml:space="preserve"> </w:t>
            </w:r>
            <w:r>
              <w:rPr>
                <w:rFonts w:hAnsi="Arial" w:ascii="Arial"/>
                <w:color w:val="3F3F46"/>
                <w:w w:val="85"/>
                <w:sz w:val="21"/>
              </w:rPr>
              <w:t>državnom</w:t>
            </w:r>
            <w:r>
              <w:rPr>
                <w:rFonts w:hAnsi="Arial" w:ascii="Arial"/>
                <w:color w:val="3F3F46"/>
                <w:w w:val="83"/>
                <w:sz w:val="21"/>
              </w:rPr>
              <w:t xml:space="preserve"> </w:t>
            </w:r>
            <w:r>
              <w:rPr>
                <w:rFonts w:hAnsi="Arial" w:ascii="Arial"/>
                <w:color w:val="3F3F46"/>
                <w:w w:val="85"/>
                <w:sz w:val="21"/>
              </w:rPr>
              <w:t>odvjetništvu</w:t>
            </w:r>
            <w:r>
              <w:rPr>
                <w:rFonts w:hAnsi="Arial" w:ascii="Arial"/>
                <w:color w:val="3F3F46"/>
                <w:spacing w:val="-20"/>
                <w:w w:val="85"/>
                <w:sz w:val="21"/>
              </w:rPr>
              <w:t xml:space="preserve"> </w:t>
            </w:r>
            <w:r>
              <w:rPr>
                <w:rFonts w:hAnsi="Arial" w:ascii="Arial"/>
                <w:color w:val="3F3F46"/>
                <w:w w:val="85"/>
                <w:sz w:val="21"/>
              </w:rPr>
              <w:t>u</w:t>
            </w:r>
            <w:r>
              <w:rPr>
                <w:rFonts w:hAnsi="Arial" w:ascii="Arial"/>
                <w:color w:val="3F3F46"/>
                <w:spacing w:val="-33"/>
                <w:w w:val="85"/>
                <w:sz w:val="21"/>
              </w:rPr>
              <w:t xml:space="preserve"> </w:t>
            </w:r>
            <w:r>
              <w:rPr>
                <w:rFonts w:hAnsi="Arial" w:ascii="Arial"/>
                <w:color w:val="54545D"/>
                <w:w w:val="85"/>
                <w:sz w:val="21"/>
              </w:rPr>
              <w:t>Zagrebu</w:t>
            </w:r>
          </w:p>
        </w:tc>
        <w:tc>
          <w:tcPr>
            <w:tcW w:type="dxa" w:w="2121"/>
            <w:gridSpan w:val="2"/>
            <w:tcBorders>
              <w:top w:space="0" w:sz="6" w:color="6B7777" w:val="single"/>
              <w:left w:space="0" w:sz="6" w:color="67676B" w:val="single"/>
              <w:bottom w:space="0" w:sz="6" w:color="747480" w:val="single"/>
              <w:right w:space="0" w:sz="4" w:color="4F4B5B" w:val="single"/>
            </w:tcBorders>
          </w:tcPr>
          <w:p w:rsidRDefault="00C27EDF" w:rsidP="004C40C4" w:rsidR="00C27EDF">
            <w:pPr>
              <w:pStyle w:val="TableParagraph"/>
              <w:spacing w:before="2"/>
              <w:ind w:left="105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90"/>
                <w:sz w:val="21"/>
              </w:rPr>
              <w:t>60.557,60</w:t>
            </w:r>
          </w:p>
        </w:tc>
        <w:tc>
          <w:tcPr>
            <w:tcW w:type="dxa" w:w="1975"/>
            <w:tcBorders>
              <w:top w:space="0" w:sz="6" w:color="6B7777" w:val="single"/>
              <w:left w:space="0" w:sz="4" w:color="4F4B5B" w:val="single"/>
              <w:bottom w:space="0" w:sz="6" w:color="706B7C" w:val="single"/>
              <w:right w:space="0" w:sz="4" w:color="4F4B5B" w:val="single"/>
            </w:tcBorders>
          </w:tcPr>
          <w:p w:rsidRDefault="00C27EDF" w:rsidP="004C40C4" w:rsidR="00C27EDF">
            <w:pPr>
              <w:pStyle w:val="TableParagraph"/>
              <w:spacing w:lineRule="exact" w:line="239"/>
              <w:ind w:left="103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90"/>
                <w:sz w:val="21"/>
              </w:rPr>
              <w:t>0,42%</w:t>
            </w:r>
          </w:p>
        </w:tc>
      </w:tr>
      <w:tr w:rsidTr="004C40C4" w:rsidR="00C27EDF">
        <w:trPr>
          <w:trHeight w:hRule="exact" w:val="378"/>
        </w:trPr>
        <w:tc>
          <w:tcPr>
            <w:tcW w:type="dxa" w:w="554"/>
            <w:tcBorders>
              <w:top w:space="0" w:sz="6" w:color="747480" w:val="single"/>
              <w:left w:space="0" w:sz="6" w:color="4F4B54" w:val="single"/>
              <w:bottom w:space="0" w:sz="6" w:color="707777" w:val="single"/>
              <w:right w:space="0" w:sz="4" w:color="3F3B44" w:val="single"/>
            </w:tcBorders>
          </w:tcPr>
          <w:p w:rsidRDefault="00C27EDF" w:rsidP="004C40C4" w:rsidR="00C27EDF">
            <w:pPr>
              <w:pStyle w:val="TableParagraph"/>
              <w:spacing w:lineRule="exact" w:line="234"/>
              <w:ind w:left="98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95"/>
                <w:sz w:val="21"/>
              </w:rPr>
              <w:t>3.</w:t>
            </w:r>
          </w:p>
        </w:tc>
        <w:tc>
          <w:tcPr>
            <w:tcW w:type="dxa" w:w="1334"/>
            <w:tcBorders>
              <w:top w:space="0" w:sz="6" w:color="747480" w:val="single"/>
              <w:left w:space="0" w:sz="4" w:color="3F3B44" w:val="single"/>
              <w:bottom w:space="0" w:sz="6" w:color="707777" w:val="single"/>
              <w:right w:space="0" w:sz="4" w:color="4F4F54" w:val="single"/>
            </w:tcBorders>
          </w:tcPr>
          <w:p w:rsidRDefault="00C27EDF" w:rsidP="004C40C4" w:rsidR="00C27EDF">
            <w:pPr>
              <w:pStyle w:val="TableParagraph"/>
              <w:spacing w:lineRule="exact" w:line="239"/>
              <w:ind w:left="122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90"/>
                <w:sz w:val="21"/>
              </w:rPr>
              <w:t>09084738471</w:t>
            </w:r>
          </w:p>
        </w:tc>
        <w:tc>
          <w:tcPr>
            <w:tcW w:type="dxa" w:w="2692"/>
            <w:tcBorders>
              <w:top w:space="0" w:sz="6" w:color="747480" w:val="single"/>
              <w:left w:space="0" w:sz="4" w:color="4F4F54" w:val="single"/>
              <w:bottom w:space="0" w:sz="6" w:color="707777" w:val="single"/>
              <w:right w:space="0" w:sz="6" w:color="67676B" w:val="single"/>
            </w:tcBorders>
          </w:tcPr>
          <w:p w:rsidRDefault="00C27EDF" w:rsidP="004C40C4" w:rsidR="00C27EDF">
            <w:pPr>
              <w:pStyle w:val="TableParagraph"/>
              <w:spacing w:lineRule="exact" w:line="239"/>
              <w:ind w:left="112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85"/>
                <w:sz w:val="21"/>
              </w:rPr>
              <w:t>Prigan</w:t>
            </w:r>
            <w:r>
              <w:rPr>
                <w:rFonts w:ascii="Arial"/>
                <w:color w:val="3F3F46"/>
                <w:spacing w:val="-22"/>
                <w:w w:val="85"/>
                <w:sz w:val="21"/>
              </w:rPr>
              <w:t xml:space="preserve"> </w:t>
            </w:r>
            <w:r>
              <w:rPr>
                <w:rFonts w:ascii="Arial"/>
                <w:color w:val="3F3F46"/>
                <w:w w:val="85"/>
                <w:sz w:val="21"/>
              </w:rPr>
              <w:t>Holdings</w:t>
            </w:r>
            <w:r>
              <w:rPr>
                <w:rFonts w:ascii="Arial"/>
                <w:color w:val="3F3F46"/>
                <w:spacing w:val="-20"/>
                <w:w w:val="85"/>
                <w:sz w:val="21"/>
              </w:rPr>
              <w:t xml:space="preserve"> </w:t>
            </w:r>
            <w:r>
              <w:rPr>
                <w:rFonts w:ascii="Arial"/>
                <w:color w:val="3F3F46"/>
                <w:spacing w:val="3"/>
                <w:w w:val="85"/>
                <w:sz w:val="21"/>
              </w:rPr>
              <w:t>Ltd</w:t>
            </w:r>
            <w:r>
              <w:rPr>
                <w:rFonts w:ascii="Arial"/>
                <w:color w:val="6E6E75"/>
                <w:spacing w:val="3"/>
                <w:w w:val="85"/>
                <w:sz w:val="21"/>
              </w:rPr>
              <w:t>.</w:t>
            </w:r>
          </w:p>
        </w:tc>
        <w:tc>
          <w:tcPr>
            <w:tcW w:type="dxa" w:w="2121"/>
            <w:gridSpan w:val="2"/>
            <w:tcBorders>
              <w:top w:space="0" w:sz="6" w:color="747480" w:val="single"/>
              <w:left w:space="0" w:sz="6" w:color="67676B" w:val="single"/>
              <w:bottom w:space="0" w:sz="6" w:color="70777C" w:val="single"/>
              <w:right w:space="0" w:sz="4" w:color="4F4B5B" w:val="single"/>
            </w:tcBorders>
          </w:tcPr>
          <w:p w:rsidRDefault="00C27EDF" w:rsidP="004C40C4" w:rsidR="00C27EDF">
            <w:pPr>
              <w:pStyle w:val="TableParagraph"/>
              <w:spacing w:before="2"/>
              <w:ind w:left="119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95"/>
                <w:sz w:val="21"/>
              </w:rPr>
              <w:t>10.74</w:t>
            </w:r>
            <w:r>
              <w:rPr>
                <w:rFonts w:ascii="Arial"/>
                <w:color w:val="3F3F46"/>
                <w:spacing w:val="7"/>
                <w:w w:val="95"/>
                <w:sz w:val="21"/>
              </w:rPr>
              <w:t>2</w:t>
            </w:r>
            <w:r>
              <w:rPr>
                <w:rFonts w:ascii="Arial"/>
                <w:color w:val="6E6E75"/>
                <w:spacing w:val="-16"/>
                <w:w w:val="95"/>
                <w:sz w:val="21"/>
              </w:rPr>
              <w:t>.</w:t>
            </w:r>
            <w:r>
              <w:rPr>
                <w:rFonts w:ascii="Arial"/>
                <w:color w:val="3F3F46"/>
                <w:w w:val="95"/>
                <w:sz w:val="21"/>
              </w:rPr>
              <w:t>58</w:t>
            </w:r>
            <w:r>
              <w:rPr>
                <w:rFonts w:ascii="Arial"/>
                <w:color w:val="3F3F46"/>
                <w:spacing w:val="12"/>
                <w:w w:val="95"/>
                <w:sz w:val="21"/>
              </w:rPr>
              <w:t>0</w:t>
            </w:r>
            <w:r>
              <w:rPr>
                <w:rFonts w:ascii="Arial"/>
                <w:color w:val="6E6E75"/>
                <w:spacing w:val="-22"/>
                <w:w w:val="95"/>
                <w:sz w:val="21"/>
              </w:rPr>
              <w:t>,</w:t>
            </w:r>
            <w:r>
              <w:rPr>
                <w:rFonts w:ascii="Arial"/>
                <w:color w:val="3F3F46"/>
                <w:w w:val="95"/>
                <w:sz w:val="21"/>
              </w:rPr>
              <w:t>00</w:t>
            </w:r>
          </w:p>
        </w:tc>
        <w:tc>
          <w:tcPr>
            <w:tcW w:type="dxa" w:w="1975"/>
            <w:tcBorders>
              <w:top w:space="0" w:sz="6" w:color="706B7C" w:val="single"/>
              <w:left w:space="0" w:sz="4" w:color="4F4B5B" w:val="single"/>
              <w:bottom w:space="0" w:sz="6" w:color="70777C" w:val="single"/>
              <w:right w:space="0" w:sz="4" w:color="676474" w:val="single"/>
            </w:tcBorders>
          </w:tcPr>
          <w:p w:rsidRDefault="00C27EDF" w:rsidP="004C40C4" w:rsidR="00C27EDF">
            <w:pPr>
              <w:pStyle w:val="TableParagraph"/>
              <w:spacing w:lineRule="exact" w:line="239"/>
              <w:ind w:left="103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color w:val="3F3F46"/>
                <w:w w:val="95"/>
                <w:sz w:val="21"/>
              </w:rPr>
              <w:t>75,27%</w:t>
            </w:r>
          </w:p>
        </w:tc>
      </w:tr>
      <w:tr w:rsidTr="004C40C4" w:rsidR="00C27EDF">
        <w:trPr>
          <w:trHeight w:hRule="exact" w:val="383"/>
        </w:trPr>
        <w:tc>
          <w:tcPr>
            <w:tcW w:type="dxa" w:w="554"/>
            <w:tcBorders>
              <w:top w:space="0" w:sz="6" w:color="707777" w:val="single"/>
              <w:left w:space="0" w:sz="6" w:color="4F4B54" w:val="single"/>
              <w:bottom w:space="0" w:sz="4" w:color="auto" w:val="single"/>
              <w:right w:space="0" w:sz="4" w:color="3F3B44" w:val="single"/>
            </w:tcBorders>
          </w:tcPr>
          <w:p w:rsidRDefault="00C27EDF" w:rsidP="004C40C4" w:rsidR="00C27EDF"/>
        </w:tc>
        <w:tc>
          <w:tcPr>
            <w:tcW w:type="dxa" w:w="1334"/>
            <w:tcBorders>
              <w:top w:space="0" w:sz="6" w:color="707777" w:val="single"/>
              <w:left w:space="0" w:sz="4" w:color="3F3B44" w:val="single"/>
              <w:bottom w:space="0" w:sz="4" w:color="auto" w:val="single"/>
              <w:right w:space="0" w:sz="4" w:color="4F4F54" w:val="single"/>
            </w:tcBorders>
          </w:tcPr>
          <w:p w:rsidRDefault="00C27EDF" w:rsidP="004C40C4" w:rsidR="00C27EDF"/>
        </w:tc>
        <w:tc>
          <w:tcPr>
            <w:tcW w:type="dxa" w:w="2692"/>
            <w:tcBorders>
              <w:top w:space="0" w:sz="6" w:color="707777" w:val="single"/>
              <w:left w:space="0" w:sz="4" w:color="4F4F54" w:val="single"/>
              <w:bottom w:space="0" w:sz="4" w:color="auto" w:val="single"/>
              <w:right w:space="0" w:sz="4" w:color="4F4F54" w:val="single"/>
            </w:tcBorders>
          </w:tcPr>
          <w:p w:rsidRDefault="00C27EDF" w:rsidP="004C40C4" w:rsidR="00C27EDF">
            <w:pPr>
              <w:pStyle w:val="TableParagraph"/>
              <w:spacing w:lineRule="exact" w:line="235"/>
              <w:ind w:left="112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b/>
                <w:color w:val="3F3F46"/>
                <w:w w:val="90"/>
                <w:sz w:val="21"/>
              </w:rPr>
              <w:t>Ukupno:</w:t>
            </w:r>
          </w:p>
        </w:tc>
        <w:tc>
          <w:tcPr>
            <w:tcW w:type="dxa" w:w="1619"/>
            <w:tcBorders>
              <w:top w:space="0" w:sz="6" w:color="70777C" w:val="single"/>
              <w:left w:space="0" w:sz="4" w:color="4F4F54" w:val="single"/>
              <w:bottom w:space="0" w:sz="4" w:color="auto" w:val="single"/>
              <w:right w:val="nil"/>
            </w:tcBorders>
          </w:tcPr>
          <w:p w:rsidRDefault="00C27EDF" w:rsidP="004C40C4" w:rsidR="00C27EDF">
            <w:pPr>
              <w:pStyle w:val="TableParagraph"/>
              <w:spacing w:lineRule="exact" w:line="235"/>
              <w:ind w:left="117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b/>
                <w:color w:val="3F3F46"/>
                <w:w w:val="90"/>
                <w:sz w:val="21"/>
              </w:rPr>
              <w:t>14.272.293,77</w:t>
            </w:r>
          </w:p>
        </w:tc>
        <w:tc>
          <w:tcPr>
            <w:tcW w:type="dxa" w:w="502"/>
            <w:tcBorders>
              <w:top w:space="0" w:sz="6" w:color="70777C" w:val="single"/>
              <w:left w:val="nil"/>
              <w:bottom w:space="0" w:sz="4" w:color="auto" w:val="single"/>
              <w:right w:space="0" w:sz="4" w:color="4F4B5B" w:val="single"/>
            </w:tcBorders>
          </w:tcPr>
          <w:p w:rsidRDefault="00C27EDF" w:rsidP="004C40C4" w:rsidR="00C27EDF"/>
        </w:tc>
        <w:tc>
          <w:tcPr>
            <w:tcW w:type="dxa" w:w="1975"/>
            <w:tcBorders>
              <w:top w:space="0" w:sz="6" w:color="70777C" w:val="single"/>
              <w:left w:space="0" w:sz="4" w:color="4F4B5B" w:val="single"/>
              <w:bottom w:space="0" w:sz="2" w:color="646B6B" w:val="single"/>
              <w:right w:space="0" w:sz="4" w:color="676474" w:val="single"/>
            </w:tcBorders>
          </w:tcPr>
          <w:p w:rsidRDefault="00C27EDF" w:rsidP="004C40C4" w:rsidR="00C27EDF">
            <w:pPr>
              <w:pStyle w:val="TableParagraph"/>
              <w:spacing w:lineRule="exact" w:line="235"/>
              <w:ind w:left="112"/>
              <w:rPr>
                <w:rFonts w:cs="Arial" w:eastAsia="Arial" w:hAnsi="Arial" w:ascii="Arial"/>
                <w:sz w:val="21"/>
                <w:szCs w:val="21"/>
              </w:rPr>
            </w:pPr>
            <w:r>
              <w:rPr>
                <w:rFonts w:ascii="Arial"/>
                <w:b/>
                <w:color w:val="3F3F46"/>
                <w:w w:val="90"/>
                <w:sz w:val="21"/>
              </w:rPr>
              <w:t>100%</w:t>
            </w:r>
          </w:p>
        </w:tc>
      </w:tr>
    </w:tbl>
    <w:p w:rsidRDefault="00C27EDF" w:rsidP="00C27EDF" w:rsidR="00C27EDF"/>
    <w:p w:rsidRDefault="00C27EDF" w:rsidP="00C27EDF" w:rsidR="00C27EDF"/>
    <w:p w:rsidRDefault="00C27EDF" w:rsidP="00C27EDF" w:rsidR="00C27EDF"/>
    <w:p w:rsidRDefault="00C27EDF" w:rsidP="00C27EDF" w:rsidR="00C27EDF">
      <w:r>
        <w:t>• Dana 09.09.2016. godine, nakon provedenog glasovanja, doneseno je Rješenje o prihvaćanju plana financijskog restrukturiranja UP - 1/110/07/15-01/8364 , Ur. br: 04-06-16-8364-63, kojim je utvrđeno da su za plan financijskog restrukturiranja glasali Vjerovnici čije tražbine prelaze 2/3 vrijednosti svih utvrđenih tražbina, odnosno vjerovnici koji imaju 75,27% udjela u vrijednosti ukupno utvrđenih tražbina.</w:t>
      </w:r>
    </w:p>
    <w:p w:rsidRDefault="00C27EDF" w:rsidP="00C27EDF" w:rsidR="00C27EDF"/>
    <w:p w:rsidRDefault="00C27EDF" w:rsidP="00C27EDF" w:rsidR="00C27EDF">
      <w:r>
        <w:t>• S danom 27.09.2016 . godine iskazana je izvršnost Rješenja o prihvaćanju plana financijskog restrukturiranja UP - 1/110/07/15-01/8364, Ur. br: 04-06-16-8364-63,</w:t>
      </w:r>
    </w:p>
    <w:p w:rsidRDefault="00C27EDF" w:rsidP="00C27EDF" w:rsidR="00C27EDF"/>
    <w:p w:rsidRDefault="00C27EDF" w:rsidP="00C27EDF" w:rsidR="00C27EDF">
      <w:r>
        <w:t>Dužnik i Vjerovnici nadalje suglasno utvrđuju kako:</w:t>
      </w:r>
    </w:p>
    <w:p w:rsidRDefault="00C27EDF" w:rsidP="00C27EDF" w:rsidR="00C27EDF">
      <w:r>
        <w:t>• od dana otvaranja postupka predstečajne nagodbe nad Dužnikom do pravomoćnosti rješenja        o potvrdi ove Predstečajne Nagodbe, na iznose utvrđenih tražbina Vjerovnika ne teku kamate</w:t>
      </w:r>
    </w:p>
    <w:p w:rsidRDefault="00C27EDF" w:rsidP="00C27EDF" w:rsidR="00C27EDF">
      <w:r>
        <w:t>• se ova Predstečajna Nagodba pojedinačno primjenjuje prema svakom pojedinom Vjerovniku</w:t>
      </w:r>
    </w:p>
    <w:p w:rsidRDefault="00C27EDF" w:rsidP="00C27EDF" w:rsidR="00C27EDF">
      <w:r>
        <w:t>• ovom Predstečajnom Nagodbom ne dolazi do novacije niti jedne obveze Dužnika prema Vjerovnicima,</w:t>
      </w:r>
    </w:p>
    <w:p w:rsidRDefault="00C27EDF" w:rsidP="00C27EDF" w:rsidR="00C27EDF">
      <w:r>
        <w:t>• Dužnik nema dospjelih nepodmirenih prioritetnih tražbina prema radnicima</w:t>
      </w:r>
    </w:p>
    <w:p w:rsidRDefault="00C27EDF" w:rsidP="00C27EDF" w:rsidR="00C27EDF">
      <w:r>
        <w:t>• temeljem usvojenog Plana operativnog ifinancijskog restrukturiranja ne postoje druge obveze Dužnika osim obveza navedenih u ovoj Nagodbi.</w:t>
      </w:r>
    </w:p>
    <w:p w:rsidRDefault="00C27EDF" w:rsidP="00C27EDF" w:rsidR="00C27EDF">
      <w:r>
        <w:t xml:space="preserve"> </w:t>
      </w:r>
    </w:p>
    <w:p w:rsidRDefault="00C27EDF" w:rsidP="00C27EDF" w:rsidR="00C27EDF"/>
    <w:p w:rsidRDefault="00C27EDF" w:rsidP="00C27EDF" w:rsidR="00C27EDF"/>
    <w:p w:rsidRDefault="00C27EDF" w:rsidP="00C27EDF" w:rsidR="00C27EDF">
      <w:r>
        <w:t>NAMIRENJE TRAŽBINA VJEROVNIKA</w:t>
      </w:r>
    </w:p>
    <w:p w:rsidRDefault="00C27EDF" w:rsidP="00C27EDF" w:rsidR="00C27EDF"/>
    <w:p w:rsidRDefault="00C27EDF" w:rsidP="00C27EDF" w:rsidR="00C27EDF">
      <w:pPr>
        <w:jc w:val="center"/>
      </w:pPr>
      <w:r>
        <w:t>Članak II.</w:t>
      </w:r>
    </w:p>
    <w:p w:rsidRDefault="00C27EDF" w:rsidP="00C27EDF" w:rsidR="00C27EDF"/>
    <w:p w:rsidRDefault="00C27EDF" w:rsidP="00C27EDF" w:rsidR="00C27EDF"/>
    <w:p w:rsidRDefault="00C27EDF" w:rsidP="00C27EDF" w:rsidR="00C27EDF">
      <w:r>
        <w:t xml:space="preserve">Dužnik i Vjerovnici suglasno utvrđuju kako se sukladno usvojenom Planu operativnog i financijskog restrukturiranja temeljem Rješenja UP - 1/110/07/15-01/8364, Ur. br: 04-06-16-8364-63 od dana 09.09.2016. godine, vrši otpis 60 % iznosa od iznosa utvrđene tražbine svakog pojedinog Vjerovnika , otpisuju ostali troškovi i naknade vezane uz naplatu potraživanja Vjerovnika , a koji iznosi tražbina se potom uvećavaju za godišnju kamatnu stopu od 4,5 % sukladno vremenskom razdoblju otplate, odgađa dospijeće obveza Dužnika za tri (3) godine od dana sklapanja predstečajne nagodbe, omogućuje </w:t>
      </w:r>
      <w:r>
        <w:lastRenderedPageBreak/>
        <w:t>Dužniku da izvrši jednokratnu uplatu i na taj način podmiri dug nakon unovčenja potraživanja prema vlastitim dužnicima .</w:t>
      </w:r>
    </w:p>
    <w:p w:rsidRDefault="00C27EDF" w:rsidP="00C27EDF" w:rsidR="00C27EDF"/>
    <w:p w:rsidRDefault="00C27EDF" w:rsidP="00C27EDF" w:rsidR="00C27EDF">
      <w:r>
        <w:t>Dužnik iVjerovnici suglasno utvrđuju kako se Dužnik obvezuje Vjerovnicima namiriti tražbine u rokovima i pod uvjetima kako slijedi :</w:t>
      </w:r>
    </w:p>
    <w:p w:rsidRDefault="00C27EDF" w:rsidP="00C27EDF" w:rsidR="00C27EDF"/>
    <w:p w:rsidRDefault="00C27EDF" w:rsidP="00C27EDF" w:rsidR="00C27EDF">
      <w:pPr>
        <w:ind w:left="284"/>
      </w:pPr>
      <w:r>
        <w:t>1.</w:t>
      </w:r>
      <w:r>
        <w:tab/>
        <w:t>Dužnik se obvezuje podmiriti tražbinu vjerovnika Ministarstvo financija-Porezna uprava, Boškovićeva 5, Zagreb, OIB: 18683136487, u iznosu od 1.387.662,47 kuna u 60 (šezdeset) jednakih mjesečnih rata, uvećanih za godišnju kamatnu stopu u iznosu od 4,5 % sukladno vremenskom razdoblju otplate, počevši protekom tri (3) godine od dana sklapanja predstečajne nagodbe pa do konačne otplate, svakog 15. (petanestog) dana u mjesecu.</w:t>
      </w:r>
    </w:p>
    <w:p w:rsidRDefault="00C27EDF" w:rsidP="00C27EDF" w:rsidR="00C27EDF">
      <w:pPr>
        <w:ind w:left="284"/>
      </w:pPr>
    </w:p>
    <w:p w:rsidRDefault="00C27EDF" w:rsidP="00C27EDF" w:rsidR="00C27EDF">
      <w:pPr>
        <w:ind w:left="284"/>
      </w:pPr>
      <w:r>
        <w:t>2.</w:t>
      </w:r>
      <w:r>
        <w:tab/>
        <w:t>Dužnik se obvezuje podmiriti tražbinu vjerovnika Republika Hrvatska, zastupana po Županijskom državnom odvjetništvu, OIB: 52634238587 , u iznosu od 24.223,06 kuna u 60 (šezdeset) jednakih mjesečnih rata, uvećanih za godišnju kamatnu stopu u iznosu od 4,5 % sukladno vremenskom razdoblju otplate, počevši protekom tri (3) godine od dana sklapanja predstečajne nagodbe pa do konačne otplate, svakog 15. (petanestog) dana u mjesecu.</w:t>
      </w:r>
    </w:p>
    <w:p w:rsidRDefault="00C27EDF" w:rsidP="00C27EDF" w:rsidR="00C27EDF">
      <w:pPr>
        <w:ind w:left="284"/>
      </w:pPr>
    </w:p>
    <w:p w:rsidRDefault="00C27EDF" w:rsidP="00C27EDF" w:rsidR="00C27EDF">
      <w:pPr>
        <w:ind w:left="284"/>
      </w:pPr>
      <w:r>
        <w:t>3.</w:t>
      </w:r>
      <w:r>
        <w:tab/>
        <w:t>Dužnik se obvezuje podmiriti tražbinu vjerovnika Prigan Holdings Ltd., 17 Gr. Xenopoulou Street, Totalserve House, 3106, Limassol, Cipar, registriran u registru Ministarstva gospodarstva, industrije i turizma pod brojem HE 101108, OIB: OIB: 09084738471, u iznosu od 4.297.032,00 kuna u 60 (šezdeset) jednakih mjesečnih rata uvećanih za godišnju kamatnu stopu u iznosu od 4,5 % sukladno vremenskom razdoblju otplate, počevši protekom tri (3) godine od dana sklapanja predstečajne nagodbe pa do konačne otplate, svakog 15. (petanestog) dana u mjesecu.</w:t>
      </w:r>
    </w:p>
    <w:p w:rsidRDefault="00C27EDF" w:rsidP="00C27EDF" w:rsidR="00C27EDF"/>
    <w:p w:rsidRDefault="00C27EDF" w:rsidP="00C27EDF" w:rsidR="00C27EDF">
      <w:pPr>
        <w:jc w:val="center"/>
      </w:pPr>
      <w:r>
        <w:t>Članak III</w:t>
      </w:r>
    </w:p>
    <w:p w:rsidRDefault="00C27EDF" w:rsidP="00C27EDF" w:rsidR="00C27EDF"/>
    <w:p w:rsidRDefault="00C27EDF" w:rsidP="00C27EDF" w:rsidR="00C27EDF">
      <w:r>
        <w:t>Ova Predstečajna nagodba ima snagu ovršne isprave za sve Vjerovnike predstečajne nagodbe čije su tražbine utvrđene, sastavljena je na način propisan člankom 46.a Zakona o financijskom poslovanju i predstečajnoj nagodbi te se na temelju iste može radi ostvarenja dužnih tražbina , nakon dospjelosti obveze, neposredno provesti ovrha.</w:t>
      </w:r>
    </w:p>
    <w:p w:rsidRDefault="00C27EDF" w:rsidP="00C27EDF" w:rsidR="00C27EDF"/>
    <w:p w:rsidRDefault="00C27EDF" w:rsidP="00C27EDF" w:rsidR="00C27EDF">
      <w:r>
        <w:t>Dužnik i Vjerovnici suglasno utvrđuju kako su ovom Predstečajnom nagodbom po svim osnovama razriješile svoje međusobne odnose te da osim tražbina obuhvaćenih ovom Predstečajnom nagodbom, nemaju nikakvih drugih međusobnih tražbina nastalih i dospjelih do dana donošenja rješenja o otvaranju postupka predstečajne nagodbe sukladno čl. 71. i čl. 72. Zakona o financijskom poslovanju i predstečajnoj nagodbi.</w:t>
      </w:r>
    </w:p>
    <w:p w:rsidRDefault="00C27EDF" w:rsidP="00C27EDF" w:rsidR="00C27EDF">
      <w:r>
        <w:t>U odnosu na tražbine Vjerovnika utvrđene u Postupku i obuhvaćene Predstečajnom nagodbom, ovršni i upravni postupci pokrenuti prije otvaranja Postupka obustavit će se, a u parničnim postupcima sud će u odnosu na te tražbine odbaciti tužbu, na prijedlog Dužnika podnesen nakon pravomoćnosti rješenja o potvrdi Predstečajne nagodbe.</w:t>
      </w:r>
    </w:p>
    <w:p w:rsidRDefault="00C27EDF" w:rsidP="00C27EDF" w:rsidR="00C27EDF"/>
    <w:p w:rsidRDefault="00C27EDF" w:rsidP="00C27EDF" w:rsidR="00C27EDF">
      <w:pPr>
        <w:jc w:val="center"/>
      </w:pPr>
      <w:r>
        <w:t>Članak IV.</w:t>
      </w:r>
    </w:p>
    <w:p w:rsidRDefault="00C27EDF" w:rsidP="00C27EDF" w:rsidR="00C27EDF"/>
    <w:p w:rsidRDefault="00C27EDF" w:rsidP="00C27EDF" w:rsidR="00C27EDF">
      <w:r>
        <w:t>Nakon što su pročitale tekst ove Predstečajne nagodbe, strane izjavljuju kako ista predstavlja njihovu volju, te istu u znak prihvata vlastoručno potpisuju po svojim ovlaštenim predstavnicima kojim aktom se ista smatra sklopljenom .</w:t>
      </w:r>
    </w:p>
    <w:p w:rsidRDefault="00C27EDF" w:rsidP="00C27EDF" w:rsidR="00C27EDF"/>
    <w:p w:rsidRDefault="00204B3B" w:rsidP="00C27EDF" w:rsidR="00204B3B">
      <w:pPr>
        <w:jc w:val="center"/>
      </w:pPr>
    </w:p>
    <w:p w:rsidRDefault="00204B3B" w:rsidP="00C27EDF" w:rsidR="00204B3B">
      <w:pPr>
        <w:jc w:val="center"/>
      </w:pPr>
    </w:p>
    <w:p w:rsidRDefault="00C27EDF" w:rsidP="00C27EDF" w:rsidR="00C27EDF">
      <w:pPr>
        <w:jc w:val="center"/>
      </w:pPr>
      <w:r w:rsidRPr="007A4322">
        <w:lastRenderedPageBreak/>
        <w:t>O b r a z l o ž e nj e</w:t>
      </w:r>
    </w:p>
    <w:p w:rsidRDefault="00C27EDF" w:rsidP="00C27EDF" w:rsidR="00C27EDF" w:rsidRPr="007A4322">
      <w:pPr>
        <w:jc w:val="center"/>
      </w:pPr>
    </w:p>
    <w:p w:rsidRDefault="00C27EDF" w:rsidP="00C27EDF" w:rsidR="00C27EDF" w:rsidRPr="007A4322">
      <w:pPr>
        <w:jc w:val="both"/>
      </w:pPr>
      <w:r w:rsidRPr="007A4322">
        <w:t xml:space="preserve">Dužnik, podnio je na temelju odredbe čl. </w:t>
      </w:r>
      <w:smartTag w:element="metricconverter" w:uri="urn:schemas-microsoft-com:office:smarttags">
        <w:smartTagPr>
          <w:attr w:val="66. st" w:name="ProductID"/>
        </w:smartTagPr>
        <w:r w:rsidRPr="007A4322">
          <w:t>66. st</w:t>
        </w:r>
      </w:smartTag>
      <w:r w:rsidRPr="007A4322">
        <w:t xml:space="preserve">. 1. Zakona o financijskom poslovanju i predstečajnoj nagodbi ("Narodne novine" broj 108/12, 144/12, </w:t>
      </w:r>
      <w:r>
        <w:t xml:space="preserve">81/13 i 112/13; </w:t>
      </w:r>
      <w:r w:rsidRPr="007A4322">
        <w:t>dalje: ZFPPN) prijedlog za sklapanje predstečajne nagodbe.</w:t>
      </w:r>
    </w:p>
    <w:p w:rsidRDefault="00C27EDF" w:rsidP="00C27EDF" w:rsidR="00C27EDF" w:rsidRPr="007A4322">
      <w:pPr>
        <w:jc w:val="both"/>
      </w:pPr>
    </w:p>
    <w:p w:rsidRDefault="00C27EDF" w:rsidP="00C27EDF" w:rsidR="00C27EDF" w:rsidRPr="00462160">
      <w:pPr>
        <w:jc w:val="both"/>
      </w:pPr>
      <w:r w:rsidRPr="00FD3B61">
        <w:t>Sud je sukladno dostavljenim ispravama i provjerom podataka na web-stranici Fine utvrdio da su ispunjene pretpostavke za određivanje ročišta radi sklapanja predstečajne nagodbe</w:t>
      </w:r>
      <w:r>
        <w:t xml:space="preserve">. Oglas, </w:t>
      </w:r>
      <w:r w:rsidRPr="00462160">
        <w:t>a prema rješenju suda od 16. siječnja 2017.g. kojim je zakazano ročište radi sklapanja predstečajne nagodbe, objavljen je na web stranici Financijske agencije od 24. siječnja 2017. te na e oglasnoj ploči suda 16. siječnja 2017. godine.</w:t>
      </w:r>
    </w:p>
    <w:p w:rsidRDefault="00C27EDF" w:rsidP="00C27EDF" w:rsidR="00C27EDF" w:rsidRPr="00F16E2F">
      <w:pPr>
        <w:jc w:val="both"/>
        <w:rPr>
          <w:color w:val="FF0000"/>
        </w:rPr>
      </w:pPr>
    </w:p>
    <w:p w:rsidRDefault="00C27EDF" w:rsidP="00C27EDF" w:rsidR="00C27EDF" w:rsidRPr="007A4322">
      <w:pPr>
        <w:jc w:val="both"/>
      </w:pPr>
      <w:r w:rsidRPr="007A4322">
        <w:t>Na ročištu za sklapanje</w:t>
      </w:r>
      <w:r>
        <w:t xml:space="preserve"> predstečajne nagodbe održanom </w:t>
      </w:r>
      <w:r w:rsidRPr="00462160">
        <w:t>31. siječnja 2017.,</w:t>
      </w:r>
      <w:r w:rsidRPr="007A4322">
        <w:t xml:space="preserve"> pristanak za sklapanje pred</w:t>
      </w:r>
      <w:r>
        <w:t>stečajne nagodbe dali su dužnik</w:t>
      </w:r>
      <w:r w:rsidRPr="007A4322">
        <w:t xml:space="preserve"> </w:t>
      </w:r>
      <w:r w:rsidRPr="00414AC1">
        <w:t xml:space="preserve">i vjerovnici  čije </w:t>
      </w:r>
      <w:r w:rsidRPr="00AE63F2">
        <w:t xml:space="preserve">tražbine iznose </w:t>
      </w:r>
      <w:r>
        <w:t>10,742.580,00</w:t>
      </w:r>
      <w:r w:rsidRPr="00B31D63">
        <w:t xml:space="preserve"> </w:t>
      </w:r>
      <w:r>
        <w:t>kuna</w:t>
      </w:r>
      <w:r w:rsidRPr="0065181B">
        <w:t xml:space="preserve"> od </w:t>
      </w:r>
      <w:r>
        <w:t>14.272.580,00</w:t>
      </w:r>
      <w:r w:rsidRPr="00B31D63">
        <w:t xml:space="preserve"> </w:t>
      </w:r>
      <w:r w:rsidRPr="0065181B">
        <w:t xml:space="preserve">kn ukupno utvrđenih tražbina, što predstavlja </w:t>
      </w:r>
      <w:r>
        <w:t>75,27</w:t>
      </w:r>
      <w:r w:rsidRPr="00D02E7A">
        <w:t xml:space="preserve"> % </w:t>
      </w:r>
      <w:r w:rsidRPr="0065181B">
        <w:t>ili više od 2/3 vrijednosti ukupno utvrđenih tražbina</w:t>
      </w:r>
      <w:r w:rsidRPr="007A4322">
        <w:t xml:space="preserve">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7A4322">
          <w:t>66. st</w:t>
        </w:r>
      </w:smartTag>
      <w:r>
        <w:t>. 9</w:t>
      </w:r>
      <w:r w:rsidRPr="007A4322">
        <w:t xml:space="preserve">. u vezi s čl. 63. ZFPPN-a. Slijedom navedenog, sud je riješio kao u izreci ovog rješenja </w:t>
      </w:r>
    </w:p>
    <w:p w:rsidRDefault="00C27EDF" w:rsidP="00C27EDF" w:rsidR="00C27EDF" w:rsidRPr="007A4322">
      <w:pPr>
        <w:jc w:val="both"/>
      </w:pPr>
    </w:p>
    <w:p w:rsidRDefault="00EA4A2C" w:rsidP="009E34B4" w:rsidR="00EA4A2C">
      <w:pPr>
        <w:jc w:val="center"/>
      </w:pPr>
    </w:p>
    <w:p w:rsidRDefault="007C418E" w:rsidP="009E34B4" w:rsidR="009E34B4">
      <w:pPr>
        <w:jc w:val="center"/>
      </w:pPr>
      <w:r>
        <w:t xml:space="preserve">U Zagrebu </w:t>
      </w:r>
      <w:r w:rsidR="00083784">
        <w:t>31</w:t>
      </w:r>
      <w:r w:rsidR="009E34B4">
        <w:t>.</w:t>
      </w:r>
      <w:r w:rsidR="00D74A9A">
        <w:t xml:space="preserve"> siječnja</w:t>
      </w:r>
      <w:r w:rsidR="009E34B4">
        <w:t xml:space="preserve"> 201</w:t>
      </w:r>
      <w:r w:rsidR="00D74A9A">
        <w:t>7</w:t>
      </w:r>
      <w:r w:rsidR="009E34B4">
        <w:t>.</w:t>
      </w:r>
      <w:r>
        <w:t xml:space="preserve"> godine</w:t>
      </w:r>
    </w:p>
    <w:p w:rsidRDefault="009E34B4" w:rsidP="009E34B4" w:rsidR="009E34B4">
      <w:pPr>
        <w:jc w:val="center"/>
      </w:pPr>
      <w:r>
        <w:tab/>
      </w:r>
      <w:r>
        <w:tab/>
      </w:r>
      <w:r>
        <w:tab/>
      </w:r>
      <w:r>
        <w:tab/>
      </w:r>
      <w:r>
        <w:tab/>
      </w:r>
    </w:p>
    <w:p w:rsidRDefault="00EA4A2C" w:rsidP="00F36619" w:rsidR="00EA4A2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04B3B" w:rsidP="00E91121" w:rsidR="00204B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04B3B" w:rsidP="00E91121" w:rsidR="00204B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04B3B" w:rsidP="00E91121" w:rsidR="00204B3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04B3B" w:rsidP="00E91121" w:rsidR="00204B3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04B3B" w:rsidP="00E91121" w:rsidR="00204B3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94D92" w:rsidP="00083784" w:rsidR="00B94D92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94D92" w:rsidP="009E34B4" w:rsidR="00B94D92"/>
    <w:p w:rsidRDefault="009E34B4" w:rsidP="009E34B4" w:rsidR="009E34B4">
      <w:r>
        <w:t xml:space="preserve">UPUTA O PRAVNOM LIJEKU: </w:t>
      </w:r>
    </w:p>
    <w:p w:rsidRDefault="009E34B4" w:rsidP="00BF4EE5" w:rsidR="00650236">
      <w:r>
        <w:t>Protiv rješenja o odobravanju ove predstečajne nagodbe može se izjaviti žalba u roku od 8 dana. Žalba se podnosi ovom sudu za Visoki trgovački sud RH u 2 primjerka.</w:t>
      </w:r>
    </w:p>
    <w:p w:rsidRDefault="00EA4A2C" w:rsidP="00BF4EE5" w:rsidR="00EA4A2C"/>
    <w:p w:rsidRDefault="00EA4A2C" w:rsidP="00BF4EE5" w:rsidR="00EA4A2C"/>
    <w:p w:rsidRDefault="00B94D92" w:rsidP="00BF4EE5" w:rsidR="00B94D92"/>
    <w:p w:rsidRDefault="00B94D92" w:rsidP="00BF4EE5" w:rsidR="00B94D92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204B3B" w:rsidP="00BF4EE5" w:rsidR="00204B3B"/>
    <w:p w:rsidRDefault="00BF4EE5" w:rsidP="00BF4EE5" w:rsidR="00BF4EE5">
      <w:r>
        <w:t>DNA:</w:t>
      </w:r>
    </w:p>
    <w:p w:rsidRDefault="00BF4EE5" w:rsidP="00BF4EE5" w:rsidR="004B2317">
      <w:r>
        <w:t xml:space="preserve">Predlagatelj </w:t>
      </w:r>
      <w:r w:rsidR="00EC661F">
        <w:t>– dužnik</w:t>
      </w:r>
      <w:r w:rsidR="00D24C2A">
        <w:t xml:space="preserve"> </w:t>
      </w:r>
    </w:p>
    <w:p w:rsidRDefault="00083784" w:rsidP="00BF4EE5" w:rsidR="00083784">
      <w:r>
        <w:t>punomoćnik dužnka</w:t>
      </w:r>
    </w:p>
    <w:p w:rsidRDefault="00BB5EC9" w:rsidP="00BF4EE5" w:rsidR="00BB5EC9">
      <w:r>
        <w:t xml:space="preserve">-ŽDO </w:t>
      </w:r>
      <w:r w:rsidR="00EC661F">
        <w:t>Zagreb</w:t>
      </w:r>
    </w:p>
    <w:p w:rsidRDefault="00BF4EE5" w:rsidP="00BF4EE5" w:rsidR="00BF4EE5">
      <w:r>
        <w:t>-objava na web-u FINA-e uz Dopis</w:t>
      </w:r>
    </w:p>
    <w:p w:rsidRDefault="00F36619" w:rsidP="00BF4EE5" w:rsidR="00F36619">
      <w:r>
        <w:t>- E oglasna ploča</w:t>
      </w:r>
    </w:p>
    <w:p w:rsidRDefault="004B2317" w:rsidR="009E34B4">
      <w:r>
        <w:t>- spis</w:t>
      </w:r>
    </w:p>
    <w:sectPr w:rsidSect="00EC661F" w:rsidR="009E34B4">
      <w:headerReference w:type="even" r:id="rId10"/>
      <w:headerReference w:type="default" r:id="rId11"/>
      <w:pgSz w:h="16838" w:w="11906"/>
      <w:pgMar w:gutter="0" w:footer="709" w:header="709" w:left="993" w:bottom="1077" w:right="84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667" w:rsidR="00B70667">
      <w:r>
        <w:separator/>
      </w:r>
    </w:p>
  </w:endnote>
  <w:endnote w:id="0" w:type="continuationSeparator">
    <w:p w:rsidRDefault="00B70667" w:rsidR="00B70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667" w:rsidR="00B70667">
      <w:r>
        <w:separator/>
      </w:r>
    </w:p>
  </w:footnote>
  <w:footnote w:id="0" w:type="continuationSeparator">
    <w:p w:rsidRDefault="00B70667" w:rsidR="00B70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667" w:rsidP="000176D3" w:rsidR="00B706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0667" w:rsidR="00B706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667" w:rsidP="000176D3" w:rsidR="00B706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65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70667" w:rsidP="00083784" w:rsidR="0008378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083784" w:rsidRPr="0063308C">
      <w:t>72 St-</w:t>
    </w:r>
    <w:r w:rsidR="00083784">
      <w:t>6281/2016</w:t>
    </w:r>
  </w:p>
  <w:p w:rsidRDefault="0054654F" w:rsidP="0054654F" w:rsidR="0054654F"/>
  <w:p w:rsidRDefault="00B70667" w:rsidP="0072114B" w:rsidR="00B70667"/>
  <w:p w:rsidRDefault="00B70667" w:rsidR="00B706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1456059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2E65234"/>
    <w:multiLevelType w:val="hybridMultilevel"/>
    <w:tmpl w:val="8D8A8AD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7E459F3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F4923A0"/>
    <w:multiLevelType w:val="hybridMultilevel"/>
    <w:tmpl w:val="4314E2C6"/>
    <w:lvl w:tplc="4112D24C" w:ilvl="0">
      <w:start w:val="1"/>
      <w:numFmt w:val="bullet"/>
      <w:lvlText w:val="-"/>
      <w:lvlJc w:val="left"/>
      <w:pPr>
        <w:ind w:hanging="360" w:left="720"/>
      </w:pPr>
      <w:rPr>
        <w:rFonts w:cs="Calibri" w:eastAsia="SimSun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20B705E"/>
    <w:multiLevelType w:val="hybridMultilevel"/>
    <w:tmpl w:val="E166ADB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3FF4150"/>
    <w:multiLevelType w:val="hybridMultilevel"/>
    <w:tmpl w:val="57BAF288"/>
    <w:lvl w:tplc="CFB02624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42A4E75"/>
    <w:multiLevelType w:val="hybridMultilevel"/>
    <w:tmpl w:val="27125E92"/>
    <w:lvl w:tplc="65C6E3C8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A2C2DEC"/>
    <w:multiLevelType w:val="hybridMultilevel"/>
    <w:tmpl w:val="FA7E76C0"/>
    <w:lvl w:tplc="281E4CB8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1B2B6A84"/>
    <w:multiLevelType w:val="hybridMultilevel"/>
    <w:tmpl w:val="F6908952"/>
    <w:lvl w:tplc="64BAB8E0" w:ilvl="0">
      <w:start w:val="1"/>
      <w:numFmt w:val="lowerLetter"/>
      <w:lvlText w:val="%1)"/>
      <w:lvlJc w:val="left"/>
      <w:pPr>
        <w:ind w:hanging="360" w:left="1004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1BC2226A"/>
    <w:multiLevelType w:val="multilevel"/>
    <w:tmpl w:val="EE7A682E"/>
    <w:lvl w:ilvl="0">
      <w:start w:val="1"/>
      <w:numFmt w:val="decimal"/>
      <w:lvlText w:val="%1."/>
      <w:lvlJc w:val="left"/>
      <w:pPr>
        <w:ind w:firstLine="0" w:left="0"/>
      </w:pPr>
    </w:lvl>
    <w:lvl w:ilvl="1">
      <w:start w:val="1"/>
      <w:numFmt w:val="decimal"/>
      <w:lvlText w:val="%2."/>
      <w:lvlJc w:val="left"/>
      <w:pPr>
        <w:ind w:firstLine="0" w:left="0"/>
      </w:pPr>
    </w:lvl>
    <w:lvl w:ilvl="2">
      <w:start w:val="1"/>
      <w:numFmt w:val="decimal"/>
      <w:lvlText w:val="%3."/>
      <w:lvlJc w:val="left"/>
      <w:pPr>
        <w:ind w:firstLine="0" w:left="0"/>
      </w:pPr>
    </w:lvl>
    <w:lvl w:ilvl="3">
      <w:start w:val="1"/>
      <w:numFmt w:val="decimal"/>
      <w:lvlText w:val="%4."/>
      <w:lvlJc w:val="left"/>
      <w:pPr>
        <w:ind w:firstLine="0" w:left="0"/>
      </w:pPr>
    </w:lvl>
    <w:lvl w:ilvl="4">
      <w:start w:val="1"/>
      <w:numFmt w:val="decimal"/>
      <w:lvlText w:val="%5."/>
      <w:lvlJc w:val="left"/>
      <w:pPr>
        <w:ind w:firstLine="0" w:left="0"/>
      </w:pPr>
    </w:lvl>
    <w:lvl w:ilvl="5">
      <w:start w:val="1"/>
      <w:numFmt w:val="decimal"/>
      <w:lvlText w:val="%6."/>
      <w:lvlJc w:val="left"/>
      <w:pPr>
        <w:ind w:firstLine="0" w:left="0"/>
      </w:pPr>
    </w:lvl>
    <w:lvl w:ilvl="6">
      <w:start w:val="1"/>
      <w:numFmt w:val="decimal"/>
      <w:lvlText w:val="%7."/>
      <w:lvlJc w:val="left"/>
      <w:pPr>
        <w:ind w:firstLine="0" w:left="0"/>
      </w:pPr>
    </w:lvl>
    <w:lvl w:ilvl="7">
      <w:start w:val="1"/>
      <w:numFmt w:val="decimal"/>
      <w:lvlText w:val="%8."/>
      <w:lvlJc w:val="left"/>
      <w:pPr>
        <w:ind w:firstLine="0" w:left="0"/>
      </w:pPr>
    </w:lvl>
    <w:lvl w:ilvl="8">
      <w:start w:val="1"/>
      <w:numFmt w:val="decimal"/>
      <w:lvlText w:val="%9."/>
      <w:lvlJc w:val="left"/>
      <w:pPr>
        <w:ind w:firstLine="0" w:left="0"/>
      </w:pPr>
    </w:lvl>
  </w:abstractNum>
  <w:abstractNum w:abstractNumId="11">
    <w:nsid w:val="1F507F3A"/>
    <w:multiLevelType w:val="hybridMultilevel"/>
    <w:tmpl w:val="4C12DF12"/>
    <w:lvl w:tplc="3BFE0460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cs="Arial" w:eastAsia="Cambria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245E51B7"/>
    <w:multiLevelType w:val="hybridMultilevel"/>
    <w:tmpl w:val="CD9213AA"/>
    <w:lvl w:tplc="BDE6B4E4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6A845B1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29804607"/>
    <w:multiLevelType w:val="hybridMultilevel"/>
    <w:tmpl w:val="159A29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2B1801B3"/>
    <w:multiLevelType w:val="hybridMultilevel"/>
    <w:tmpl w:val="6442996C"/>
    <w:lvl w:tplc="3CAACC4E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2E065A76"/>
    <w:multiLevelType w:val="multilevel"/>
    <w:tmpl w:val="5D8AFCDC"/>
    <w:lvl w:ilvl="0">
      <w:start w:val="1"/>
      <w:numFmt w:val="decimal"/>
      <w:lvlText w:val="%1."/>
      <w:lvlJc w:val="left"/>
      <w:pPr>
        <w:ind w:firstLine="0" w:left="0"/>
      </w:pPr>
    </w:lvl>
    <w:lvl w:ilvl="1">
      <w:start w:val="1"/>
      <w:numFmt w:val="decimal"/>
      <w:lvlText w:val="%2."/>
      <w:lvlJc w:val="left"/>
      <w:pPr>
        <w:ind w:firstLine="0" w:left="0"/>
      </w:pPr>
    </w:lvl>
    <w:lvl w:ilvl="2">
      <w:start w:val="1"/>
      <w:numFmt w:val="decimal"/>
      <w:lvlText w:val="%3."/>
      <w:lvlJc w:val="left"/>
      <w:pPr>
        <w:ind w:firstLine="0" w:left="0"/>
      </w:pPr>
    </w:lvl>
    <w:lvl w:ilvl="3">
      <w:start w:val="1"/>
      <w:numFmt w:val="decimal"/>
      <w:lvlText w:val="%4."/>
      <w:lvlJc w:val="left"/>
      <w:pPr>
        <w:ind w:firstLine="0" w:left="0"/>
      </w:pPr>
    </w:lvl>
    <w:lvl w:ilvl="4">
      <w:start w:val="1"/>
      <w:numFmt w:val="decimal"/>
      <w:lvlText w:val="%5."/>
      <w:lvlJc w:val="left"/>
      <w:pPr>
        <w:ind w:firstLine="0" w:left="0"/>
      </w:pPr>
    </w:lvl>
    <w:lvl w:ilvl="5">
      <w:start w:val="1"/>
      <w:numFmt w:val="decimal"/>
      <w:lvlText w:val="%6."/>
      <w:lvlJc w:val="left"/>
      <w:pPr>
        <w:ind w:firstLine="0" w:left="0"/>
      </w:pPr>
    </w:lvl>
    <w:lvl w:ilvl="6">
      <w:start w:val="1"/>
      <w:numFmt w:val="decimal"/>
      <w:lvlText w:val="%7."/>
      <w:lvlJc w:val="left"/>
      <w:pPr>
        <w:ind w:firstLine="0" w:left="0"/>
      </w:pPr>
    </w:lvl>
    <w:lvl w:ilvl="7">
      <w:start w:val="1"/>
      <w:numFmt w:val="decimal"/>
      <w:lvlText w:val="%8."/>
      <w:lvlJc w:val="left"/>
      <w:pPr>
        <w:ind w:firstLine="0" w:left="0"/>
      </w:pPr>
    </w:lvl>
    <w:lvl w:ilvl="8">
      <w:start w:val="1"/>
      <w:numFmt w:val="decimal"/>
      <w:lvlText w:val="%9."/>
      <w:lvlJc w:val="left"/>
      <w:pPr>
        <w:ind w:firstLine="0" w:left="0"/>
      </w:pPr>
    </w:lvl>
  </w:abstractNum>
  <w:abstractNum w:abstractNumId="18">
    <w:nsid w:val="2EE11970"/>
    <w:multiLevelType w:val="hybridMultilevel"/>
    <w:tmpl w:val="7A186C10"/>
    <w:lvl w:tplc="8370E54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30C669E6"/>
    <w:multiLevelType w:val="hybridMultilevel"/>
    <w:tmpl w:val="7E6A248C"/>
    <w:lvl w:tplc="867E019A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37AC6DE0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39BF1392"/>
    <w:multiLevelType w:val="hybridMultilevel"/>
    <w:tmpl w:val="3C3631D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C957154"/>
    <w:multiLevelType w:val="hybridMultilevel"/>
    <w:tmpl w:val="3F5E873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3EE17024"/>
    <w:multiLevelType w:val="hybridMultilevel"/>
    <w:tmpl w:val="11A42D4E"/>
    <w:lvl w:tplc="66FA0C8E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3B12DE2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51AF78D1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6B22EDD"/>
    <w:multiLevelType w:val="hybridMultilevel"/>
    <w:tmpl w:val="D148601E"/>
    <w:lvl w:tplc="DBCE0894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5BDA0100"/>
    <w:multiLevelType w:val="hybridMultilevel"/>
    <w:tmpl w:val="BD82D9AC"/>
    <w:lvl w:tplc="6D4EEC0A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5C225B6D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06974F0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424738B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1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2">
    <w:nsid w:val="689F5773"/>
    <w:multiLevelType w:val="hybridMultilevel"/>
    <w:tmpl w:val="35488B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6CE73040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4">
    <w:nsid w:val="6FDD4AAA"/>
    <w:multiLevelType w:val="hybridMultilevel"/>
    <w:tmpl w:val="8C2A8C52"/>
    <w:lvl w:tplc="BBFADE8A" w:ilvl="0">
      <w:start w:val="1"/>
      <w:numFmt w:val="decimal"/>
      <w:lvlText w:val="%1."/>
      <w:lvlJc w:val="left"/>
      <w:pPr>
        <w:ind w:hanging="360" w:left="644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74884474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76D3"/>
    <w:rsid w:val="00083784"/>
    <w:rsid w:val="0008604A"/>
    <w:rsid w:val="000C306D"/>
    <w:rsid w:val="0011769E"/>
    <w:rsid w:val="00161093"/>
    <w:rsid w:val="0018625F"/>
    <w:rsid w:val="00204B3B"/>
    <w:rsid w:val="00205008"/>
    <w:rsid w:val="00212037"/>
    <w:rsid w:val="00260F4B"/>
    <w:rsid w:val="00271EA5"/>
    <w:rsid w:val="0027461A"/>
    <w:rsid w:val="00305367"/>
    <w:rsid w:val="003E28AE"/>
    <w:rsid w:val="003F5180"/>
    <w:rsid w:val="00444A36"/>
    <w:rsid w:val="004B2317"/>
    <w:rsid w:val="004C057E"/>
    <w:rsid w:val="00543918"/>
    <w:rsid w:val="0054654F"/>
    <w:rsid w:val="005F30E6"/>
    <w:rsid w:val="0062724B"/>
    <w:rsid w:val="00650236"/>
    <w:rsid w:val="0072114B"/>
    <w:rsid w:val="0072170D"/>
    <w:rsid w:val="007C418E"/>
    <w:rsid w:val="007E44BF"/>
    <w:rsid w:val="008C3AB4"/>
    <w:rsid w:val="00905EA2"/>
    <w:rsid w:val="0095262C"/>
    <w:rsid w:val="009E34B4"/>
    <w:rsid w:val="00A569B1"/>
    <w:rsid w:val="00A9298E"/>
    <w:rsid w:val="00AD5A18"/>
    <w:rsid w:val="00AD6187"/>
    <w:rsid w:val="00B5065E"/>
    <w:rsid w:val="00B53382"/>
    <w:rsid w:val="00B70667"/>
    <w:rsid w:val="00B81A0F"/>
    <w:rsid w:val="00B94D92"/>
    <w:rsid w:val="00BB5EC9"/>
    <w:rsid w:val="00BF4EE5"/>
    <w:rsid w:val="00C27EDF"/>
    <w:rsid w:val="00C40A24"/>
    <w:rsid w:val="00C931E7"/>
    <w:rsid w:val="00D24C2A"/>
    <w:rsid w:val="00D74A9A"/>
    <w:rsid w:val="00EA4A2C"/>
    <w:rsid w:val="00EC661F"/>
    <w:rsid w:val="00EC7D12"/>
    <w:rsid w:val="00F3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99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B70667"/>
    <w:pPr>
      <w:keepNext/>
      <w:tabs>
        <w:tab w:pos="1225" w:val="left"/>
      </w:tabs>
      <w:spacing w:lineRule="auto" w:line="360" w:after="60" w:before="240"/>
      <w:jc w:val="both"/>
      <w:outlineLvl w:val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link w:val="TekstbaloniaChar"/>
    <w:uiPriority w:val="99"/>
    <w:semiHidden/>
    <w:rsid w:val="00AD618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A569B1"/>
    <w:pPr>
      <w:jc w:val="both"/>
    </w:pPr>
  </w:style>
  <w:style w:customStyle="true" w:styleId="TekstbaloniaChar" w:type="character">
    <w:name w:val="Tekst balončića Char"/>
    <w:link w:val="Tekstbalonia"/>
    <w:uiPriority w:val="99"/>
    <w:semiHidden/>
    <w:rsid w:val="005F30E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F30E6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5F30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eastAsia="Calibri" w:hAnsi="Calibri" w:asci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vrhobrascaChar" w:type="character">
    <w:name w:val="z-vrh obrasca Char"/>
    <w:link w:val="z-vrhobrasca"/>
    <w:uiPriority w:val="99"/>
    <w:rsid w:val="005F30E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rsid w:val="005F30E6"/>
    <w:rPr>
      <w:rFonts w:cs="Arial" w:hAnsi="Arial" w:asci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true" w:styleId="Standard" w:type="paragraph">
    <w:name w:val="Standard"/>
    <w:rsid w:val="005F30E6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5F30E6"/>
    <w:pPr>
      <w:spacing w:after="120"/>
    </w:pPr>
  </w:style>
  <w:style w:customStyle="true" w:styleId="Heading" w:type="paragraph">
    <w:name w:val="Heading"/>
    <w:basedOn w:val="Standard"/>
    <w:next w:val="Textbody"/>
    <w:rsid w:val="005F30E6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Index" w:type="paragraph">
    <w:name w:val="Index"/>
    <w:basedOn w:val="Standard"/>
    <w:rsid w:val="005F30E6"/>
    <w:pPr>
      <w:suppressLineNumbers/>
    </w:pPr>
  </w:style>
  <w:style w:customStyle="true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50236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B70667"/>
    <w:rPr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B70667"/>
  </w:style>
  <w:style w:customStyle="true" w:styleId="Obojanipopis-Isticanje1Char" w:type="character">
    <w:name w:val="Obojani popis - Isticanje 1 Char"/>
    <w:link w:val="Obojanipopis-Isticanje1"/>
    <w:uiPriority w:val="99"/>
    <w:locked/>
    <w:rsid w:val="00B70667"/>
    <w:rPr>
      <w:rFonts w:eastAsia="Times New Roman" w:hAnsi="Times New Roman" w:ascii="Times New Roman"/>
      <w:sz w:val="24"/>
      <w:szCs w:val="24"/>
      <w:lang w:eastAsia="hr-HR"/>
    </w:rPr>
  </w:style>
  <w:style w:customStyle="true" w:styleId="ctitle" w:type="character">
    <w:name w:val="c_title"/>
    <w:rsid w:val="00B70667"/>
  </w:style>
  <w:style w:styleId="Obojanipopis-Isticanje1" w:type="table">
    <w:name w:val="Colorful List Accent 1"/>
    <w:basedOn w:val="Obinatablica"/>
    <w:link w:val="Obojanipopis-Isticanje1Char"/>
    <w:uiPriority w:val="99"/>
    <w:rsid w:val="00B70667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Bezpopisa2" w:type="numbering">
    <w:name w:val="Bez popisa2"/>
    <w:next w:val="Bezpopisa"/>
    <w:uiPriority w:val="99"/>
    <w:semiHidden/>
    <w:unhideWhenUsed/>
    <w:rsid w:val="00B70667"/>
  </w:style>
  <w:style w:styleId="Reetkatablice" w:type="table">
    <w:name w:val="Table Grid"/>
    <w:basedOn w:val="Obinatablica"/>
    <w:uiPriority w:val="59"/>
    <w:rsid w:val="00B70667"/>
    <w:rPr>
      <w:rFonts w:eastAsia="MS Mincho" w:hAnsi="Cambria" w:ascii="Cambria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Grafikeoznake2" w:type="paragraph">
    <w:name w:val="List Bullet 2"/>
    <w:basedOn w:val="Normal"/>
    <w:uiPriority w:val="99"/>
    <w:unhideWhenUsed/>
    <w:rsid w:val="00B70667"/>
    <w:pPr>
      <w:numPr>
        <w:numId w:val="37"/>
      </w:numPr>
      <w:contextualSpacing/>
    </w:pPr>
  </w:style>
  <w:style w:customStyle="true" w:styleId="apple-converted-space" w:type="character">
    <w:name w:val="apple-converted-space"/>
    <w:rsid w:val="00B70667"/>
  </w:style>
  <w:style w:customStyle="true" w:styleId="tabletextfield" w:type="character">
    <w:name w:val="table_text_field"/>
    <w:rsid w:val="00B70667"/>
  </w:style>
  <w:style w:customStyle="true" w:styleId="TijelotekstaChar" w:type="character">
    <w:name w:val="Tijelo teksta Char"/>
    <w:basedOn w:val="Zadanifontodlomka"/>
    <w:link w:val="Tijeloteksta"/>
    <w:rsid w:val="00B70667"/>
    <w:rPr>
      <w:sz w:val="24"/>
      <w:szCs w:val="24"/>
    </w:rPr>
  </w:style>
  <w:style w:customStyle="true" w:styleId="Srednjareetka2Char" w:type="character">
    <w:name w:val="Srednja rešetka 2 Char"/>
    <w:link w:val="Srednjareetka2"/>
    <w:uiPriority w:val="1"/>
    <w:rsid w:val="00B70667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B70667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B70667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customStyle="true" w:styleId="Obojanipopis-Isticanje11" w:type="table">
    <w:name w:val="Obojani popis - Isticanje 11"/>
    <w:basedOn w:val="Obinatablica"/>
    <w:next w:val="Obojanipopis-Isticanje1"/>
    <w:uiPriority w:val="99"/>
    <w:rsid w:val="00B70667"/>
    <w:rPr>
      <w:rFonts w:eastAsia="MS Mincho" w:hAnsi="Cambria" w:ascii="Cambria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TableNormal" w:type="table">
    <w:name w:val="Table Normal"/>
    <w:uiPriority w:val="2"/>
    <w:semiHidden/>
    <w:unhideWhenUsed/>
    <w:qFormat/>
    <w:rsid w:val="00C27ED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C27ED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0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6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6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6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6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B70667"/>
    <w:pPr>
      <w:keepNext/>
      <w:tabs>
        <w:tab w:pos="1225" w:val="left"/>
      </w:tabs>
      <w:spacing w:after="60" w:before="240" w:line="360" w:lineRule="auto"/>
      <w:jc w:val="both"/>
      <w:outlineLvl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link w:val="TekstbaloniaChar"/>
    <w:uiPriority w:val="99"/>
    <w:semiHidden/>
    <w:rsid w:val="00AD618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A569B1"/>
    <w:pPr>
      <w:jc w:val="both"/>
    </w:pPr>
  </w:style>
  <w:style w:customStyle="1" w:styleId="TekstbaloniaChar" w:type="character">
    <w:name w:val="Tekst balončića Char"/>
    <w:link w:val="Tekstbalonia"/>
    <w:uiPriority w:val="99"/>
    <w:semiHidden/>
    <w:rsid w:val="005F30E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F30E6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5F30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ascii="Calibri" w:eastAsia="Calibri" w:hAns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vrhobrascaChar" w:type="character">
    <w:name w:val="z-vrh obrasca Char"/>
    <w:link w:val="z-vrhobrasca"/>
    <w:uiPriority w:val="99"/>
    <w:rsid w:val="005F30E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rsid w:val="005F30E6"/>
    <w:rPr>
      <w:rFonts w:ascii="Arial" w:cs="Arial" w:hAns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1" w:styleId="Standard" w:type="paragraph">
    <w:name w:val="Standard"/>
    <w:rsid w:val="005F30E6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5F30E6"/>
    <w:pPr>
      <w:spacing w:after="120"/>
    </w:pPr>
  </w:style>
  <w:style w:customStyle="1" w:styleId="Heading" w:type="paragraph">
    <w:name w:val="Heading"/>
    <w:basedOn w:val="Standard"/>
    <w:next w:val="Textbody"/>
    <w:rsid w:val="005F30E6"/>
    <w:pPr>
      <w:keepNext/>
      <w:spacing w:after="120" w:before="240"/>
    </w:pPr>
    <w:rPr>
      <w:rFonts w:ascii="Arial" w:hAnsi="Arial"/>
      <w:sz w:val="28"/>
      <w:szCs w:val="28"/>
    </w:rPr>
  </w:style>
  <w:style w:customStyle="1" w:styleId="Index" w:type="paragraph">
    <w:name w:val="Index"/>
    <w:basedOn w:val="Standard"/>
    <w:rsid w:val="005F30E6"/>
    <w:pPr>
      <w:suppressLineNumbers/>
    </w:pPr>
  </w:style>
  <w:style w:customStyle="1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50236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B70667"/>
    <w:rPr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B70667"/>
  </w:style>
  <w:style w:customStyle="1" w:styleId="Obojanipopis-Isticanje1Char" w:type="character">
    <w:name w:val="Obojani popis - Isticanje 1 Char"/>
    <w:link w:val="Obojanipopis-Isticanje1"/>
    <w:uiPriority w:val="99"/>
    <w:locked/>
    <w:rsid w:val="00B70667"/>
    <w:rPr>
      <w:rFonts w:ascii="Times New Roman" w:eastAsia="Times New Roman" w:hAnsi="Times New Roman"/>
      <w:sz w:val="24"/>
      <w:szCs w:val="24"/>
      <w:lang w:eastAsia="hr-HR"/>
    </w:rPr>
  </w:style>
  <w:style w:customStyle="1" w:styleId="ctitle" w:type="character">
    <w:name w:val="c_title"/>
    <w:rsid w:val="00B70667"/>
  </w:style>
  <w:style w:styleId="Obojanipopis-Isticanje1" w:type="table">
    <w:name w:val="Colorful List Accent 1"/>
    <w:basedOn w:val="Obinatablica"/>
    <w:link w:val="Obojanipopis-Isticanje1Char"/>
    <w:uiPriority w:val="99"/>
    <w:rsid w:val="00B70667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Bezpopisa2" w:type="numbering">
    <w:name w:val="Bez popisa2"/>
    <w:next w:val="Bezpopisa"/>
    <w:uiPriority w:val="99"/>
    <w:semiHidden/>
    <w:unhideWhenUsed/>
    <w:rsid w:val="00B70667"/>
  </w:style>
  <w:style w:styleId="Reetkatablice" w:type="table">
    <w:name w:val="Table Grid"/>
    <w:basedOn w:val="Obinatablica"/>
    <w:uiPriority w:val="59"/>
    <w:rsid w:val="00B70667"/>
    <w:rPr>
      <w:rFonts w:ascii="Cambria" w:eastAsia="MS Mincho" w:hAnsi="Cambria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Grafikeoznake2" w:type="paragraph">
    <w:name w:val="List Bullet 2"/>
    <w:basedOn w:val="Normal"/>
    <w:uiPriority w:val="99"/>
    <w:unhideWhenUsed/>
    <w:rsid w:val="00B70667"/>
    <w:pPr>
      <w:numPr>
        <w:numId w:val="37"/>
      </w:numPr>
      <w:contextualSpacing/>
    </w:pPr>
  </w:style>
  <w:style w:customStyle="1" w:styleId="apple-converted-space" w:type="character">
    <w:name w:val="apple-converted-space"/>
    <w:rsid w:val="00B70667"/>
  </w:style>
  <w:style w:customStyle="1" w:styleId="tabletextfield" w:type="character">
    <w:name w:val="table_text_field"/>
    <w:rsid w:val="00B70667"/>
  </w:style>
  <w:style w:customStyle="1" w:styleId="TijelotekstaChar" w:type="character">
    <w:name w:val="Tijelo teksta Char"/>
    <w:basedOn w:val="Zadanifontodlomka"/>
    <w:link w:val="Tijeloteksta"/>
    <w:rsid w:val="00B70667"/>
    <w:rPr>
      <w:sz w:val="24"/>
      <w:szCs w:val="24"/>
    </w:rPr>
  </w:style>
  <w:style w:customStyle="1" w:styleId="Srednjareetka2Char" w:type="character">
    <w:name w:val="Srednja rešetka 2 Char"/>
    <w:link w:val="Srednjareetka2"/>
    <w:uiPriority w:val="1"/>
    <w:rsid w:val="00B70667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B70667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B70667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customStyle="1" w:styleId="Obojanipopis-Isticanje11" w:type="table">
    <w:name w:val="Obojani popis - Isticanje 11"/>
    <w:basedOn w:val="Obinatablica"/>
    <w:next w:val="Obojanipopis-Isticanje1"/>
    <w:uiPriority w:val="99"/>
    <w:rsid w:val="00B70667"/>
    <w:rPr>
      <w:rFonts w:ascii="Cambria" w:eastAsia="MS Mincho" w:hAnsi="Cambria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TableNormal" w:type="table">
    <w:name w:val="Table Normal"/>
    <w:uiPriority w:val="2"/>
    <w:semiHidden/>
    <w:unhideWhenUsed/>
    <w:qFormat/>
    <w:rsid w:val="00C27ED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27ED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0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6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6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6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6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6281</izvorni_sadrzaj>
    <derivirana_varijabla naziv="DomainObject.Predmet.Broj_1">6281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St-6281/2016</izvorni_sadrzaj>
    <derivirana_varijabla naziv="DomainObject.Predmet.OznakaBroj_1">St-6281/2016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VOĆNI VRT d.o.o.</izvorni_sadrzaj>
    <derivirana_varijabla naziv="DomainObject.Predmet.ProtustrankaFormated_1">  VOĆNI VRT d.o.o.</derivirana_varijabla>
  </DomainObject.Predmet.ProtustrankaFormated>
  <DomainObject.Predmet.ProtustrankaFormatedOIB>
    <izvorni_sadrzaj>  VOĆNI VRT d.o.o., OIB 43365110112</izvorni_sadrzaj>
    <derivirana_varijabla naziv="DomainObject.Predmet.ProtustrankaFormatedOIB_1">  VOĆNI VRT d.o.o., OIB 43365110112</derivirana_varijabla>
  </DomainObject.Predmet.ProtustrankaFormatedOIB>
  <DomainObject.Predmet.ProtustrankaFormatedWithAdress>
    <izvorni_sadrzaj> VOĆNI VRT d.o.o., Heinzelova 47/A, 10000 Zagreb</izvorni_sadrzaj>
    <derivirana_varijabla naziv="DomainObject.Predmet.ProtustrankaFormatedWithAdress_1"> VOĆNI VRT d.o.o., Heinzelova 47/A, 10000 Zagreb</derivirana_varijabla>
  </DomainObject.Predmet.ProtustrankaFormatedWithAdress>
  <DomainObject.Predmet.ProtustrankaFormatedWithAdressOIB>
    <izvorni_sadrzaj> VOĆNI VRT d.o.o., OIB 43365110112, Heinzelova 47/A, 10000 Zagreb</izvorni_sadrzaj>
    <derivirana_varijabla naziv="DomainObject.Predmet.ProtustrankaFormatedWithAdressOIB_1"> VOĆNI VRT d.o.o., OIB 43365110112, Heinzelova 47/A, 10000 Zagreb</derivirana_varijabla>
  </DomainObject.Predmet.ProtustrankaFormatedWithAdressOIB>
  <DomainObject.Predmet.ProtustrankaWithAdress>
    <izvorni_sadrzaj>VOĆNI VRT d.o.o. Heinzelova 47/A, 10000 Zagreb</izvorni_sadrzaj>
    <derivirana_varijabla naziv="DomainObject.Predmet.ProtustrankaWithAdress_1">VOĆNI VRT d.o.o. Heinzelova 47/A, 10000 Zagreb</derivirana_varijabla>
  </DomainObject.Predmet.ProtustrankaWithAdress>
  <DomainObject.Predmet.ProtustrankaWithAdressOIB>
    <izvorni_sadrzaj>VOĆNI VRT d.o.o., OIB 43365110112, Heinzelova 47/A, 10000 Zagreb</izvorni_sadrzaj>
    <derivirana_varijabla naziv="DomainObject.Predmet.ProtustrankaWithAdressOIB_1">VOĆNI VRT d.o.o., OIB 43365110112, Heinzelova 47/A, 10000 Zagreb</derivirana_varijabla>
  </DomainObject.Predmet.ProtustrankaWithAdressOIB>
  <DomainObject.Predmet.ProtustrankaNazivFormated>
    <izvorni_sadrzaj>VOĆNI VRT d.o.o.</izvorni_sadrzaj>
    <derivirana_varijabla naziv="DomainObject.Predmet.ProtustrankaNazivFormated_1">VOĆNI VRT d.o.o.</derivirana_varijabla>
  </DomainObject.Predmet.ProtustrankaNazivFormated>
  <DomainObject.Predmet.ProtustrankaNazivFormatedOIB>
    <izvorni_sadrzaj>VOĆNI VRT d.o.o., OIB 43365110112</izvorni_sadrzaj>
    <derivirana_varijabla naziv="DomainObject.Predmet.ProtustrankaNazivFormatedOIB_1">VOĆNI VRT d.o.o., OIB 43365110112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VOĆNI VRT d.o.o.</izvorni_sadrzaj>
    <derivirana_varijabla naziv="DomainObject.Predmet.StrankaFormated_1">  VOĆNI VRT d.o.o.</derivirana_varijabla>
  </DomainObject.Predmet.StrankaFormated>
  <DomainObject.Predmet.StrankaFormatedOIB>
    <izvorni_sadrzaj>  VOĆNI VRT d.o.o., OIB 43365110112</izvorni_sadrzaj>
    <derivirana_varijabla naziv="DomainObject.Predmet.StrankaFormatedOIB_1">  VOĆNI VRT d.o.o., OIB 43365110112</derivirana_varijabla>
  </DomainObject.Predmet.StrankaFormatedOIB>
  <DomainObject.Predmet.StrankaFormatedWithAdress>
    <izvorni_sadrzaj> VOĆNI VRT d.o.o., Heinzelova 47/A, 10000 Zagreb</izvorni_sadrzaj>
    <derivirana_varijabla naziv="DomainObject.Predmet.StrankaFormatedWithAdress_1"> VOĆNI VRT d.o.o., Heinzelova 47/A, 10000 Zagreb</derivirana_varijabla>
  </DomainObject.Predmet.StrankaFormatedWithAdress>
  <DomainObject.Predmet.StrankaFormatedWithAdressOIB>
    <izvorni_sadrzaj> VOĆNI VRT d.o.o., OIB 43365110112, Heinzelova 47/A, 10000 Zagreb</izvorni_sadrzaj>
    <derivirana_varijabla naziv="DomainObject.Predmet.StrankaFormatedWithAdressOIB_1"> VOĆNI VRT d.o.o., OIB 43365110112, Heinzelova 47/A, 10000 Zagreb</derivirana_varijabla>
  </DomainObject.Predmet.StrankaFormatedWithAdressOIB>
  <DomainObject.Predmet.StrankaWithAdress>
    <izvorni_sadrzaj>VOĆNI VRT d.o.o. Heinzelova 47/A,10000 Zagreb</izvorni_sadrzaj>
    <derivirana_varijabla naziv="DomainObject.Predmet.StrankaWithAdress_1">VOĆNI VRT d.o.o. Heinzelova 47/A,10000 Zagreb</derivirana_varijabla>
  </DomainObject.Predmet.StrankaWithAdress>
  <DomainObject.Predmet.StrankaWithAdressOIB>
    <izvorni_sadrzaj>VOĆNI VRT d.o.o., OIB 43365110112, Heinzelova 47/A,10000 Zagreb</izvorni_sadrzaj>
    <derivirana_varijabla naziv="DomainObject.Predmet.StrankaWithAdressOIB_1">VOĆNI VRT d.o.o., OIB 43365110112, Heinzelova 47/A,10000 Zagreb</derivirana_varijabla>
  </DomainObject.Predmet.StrankaWithAdressOIB>
  <DomainObject.Predmet.StrankaNazivFormated>
    <izvorni_sadrzaj>VOĆNI VRT d.o.o.</izvorni_sadrzaj>
    <derivirana_varijabla naziv="DomainObject.Predmet.StrankaNazivFormated_1">VOĆNI VRT d.o.o.</derivirana_varijabla>
  </DomainObject.Predmet.StrankaNazivFormated>
  <DomainObject.Predmet.StrankaNazivFormatedOIB>
    <izvorni_sadrzaj>VOĆNI VRT d.o.o., OIB 43365110112</izvorni_sadrzaj>
    <derivirana_varijabla naziv="DomainObject.Predmet.StrankaNazivFormatedOIB_1">VOĆNI VRT d.o.o., OIB 43365110112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VOĆNI VRT d.o.o.</item>
    </izvorni_sadrzaj>
    <derivirana_varijabla naziv="DomainObject.Predmet.StrankaListFormated_1">
      <item>VOĆNI VRT d.o.o.</item>
    </derivirana_varijabla>
  </DomainObject.Predmet.StrankaListFormated>
  <DomainObject.Predmet.StrankaListFormatedOIB>
    <izvorni_sadrzaj>
      <item>VOĆNI VRT d.o.o., OIB 43365110112</item>
    </izvorni_sadrzaj>
    <derivirana_varijabla naziv="DomainObject.Predmet.StrankaListFormatedOIB_1">
      <item>VOĆNI VRT d.o.o., OIB 43365110112</item>
    </derivirana_varijabla>
  </DomainObject.Predmet.StrankaListFormatedOIB>
  <DomainObject.Predmet.StrankaListFormatedWithAdress>
    <izvorni_sadrzaj>
      <item>VOĆNI VRT d.o.o., Heinzelova 47/A, 10000 Zagreb</item>
    </izvorni_sadrzaj>
    <derivirana_varijabla naziv="DomainObject.Predmet.StrankaListFormatedWithAdress_1">
      <item>VOĆNI VRT d.o.o., Heinzelova 47/A, 10000 Zagreb</item>
    </derivirana_varijabla>
  </DomainObject.Predmet.StrankaListFormatedWithAdress>
  <DomainObject.Predmet.StrankaListFormatedWithAdressOIB>
    <izvorni_sadrzaj>
      <item>VOĆNI VRT d.o.o., OIB 43365110112, Heinzelova 47/A, 10000 Zagreb</item>
    </izvorni_sadrzaj>
    <derivirana_varijabla naziv="DomainObject.Predmet.StrankaListFormatedWithAdressOIB_1">
      <item>VOĆNI VRT d.o.o., OIB 43365110112, Heinzelova 47/A, 10000 Zagreb</item>
    </derivirana_varijabla>
  </DomainObject.Predmet.StrankaListFormatedWithAdressOIB>
  <DomainObject.Predmet.StrankaListNazivFormated>
    <izvorni_sadrzaj>
      <item>VOĆNI VRT d.o.o.</item>
    </izvorni_sadrzaj>
    <derivirana_varijabla naziv="DomainObject.Predmet.StrankaListNazivFormated_1">
      <item>VOĆNI VRT d.o.o.</item>
    </derivirana_varijabla>
  </DomainObject.Predmet.StrankaListNazivFormated>
  <DomainObject.Predmet.StrankaListNazivFormatedOIB>
    <izvorni_sadrzaj>
      <item>VOĆNI VRT d.o.o., OIB 43365110112</item>
    </izvorni_sadrzaj>
    <derivirana_varijabla naziv="DomainObject.Predmet.StrankaListNazivFormatedOIB_1">
      <item>VOĆNI VRT d.o.o., OIB 43365110112</item>
    </derivirana_varijabla>
  </DomainObject.Predmet.StrankaListNazivFormatedOIB>
  <DomainObject.Predmet.ProtuStrankaListFormated>
    <izvorni_sadrzaj>
      <item>VOĆNI VRT d.o.o.</item>
    </izvorni_sadrzaj>
    <derivirana_varijabla naziv="DomainObject.Predmet.ProtuStrankaListFormated_1">
      <item>VOĆNI VRT d.o.o.</item>
    </derivirana_varijabla>
  </DomainObject.Predmet.ProtuStrankaListFormated>
  <DomainObject.Predmet.ProtuStrankaListFormatedOIB>
    <izvorni_sadrzaj>
      <item>VOĆNI VRT d.o.o., OIB 43365110112</item>
    </izvorni_sadrzaj>
    <derivirana_varijabla naziv="DomainObject.Predmet.ProtuStrankaListFormatedOIB_1">
      <item>VOĆNI VRT d.o.o., OIB 43365110112</item>
    </derivirana_varijabla>
  </DomainObject.Predmet.ProtuStrankaListFormatedOIB>
  <DomainObject.Predmet.ProtuStrankaListFormatedWithAdress>
    <izvorni_sadrzaj>
      <item>VOĆNI VRT d.o.o., Heinzelova 47/A, 10000 Zagreb</item>
    </izvorni_sadrzaj>
    <derivirana_varijabla naziv="DomainObject.Predmet.ProtuStrankaListFormatedWithAdress_1">
      <item>VOĆNI VRT d.o.o., Heinzelova 47/A, 10000 Zagreb</item>
    </derivirana_varijabla>
  </DomainObject.Predmet.ProtuStrankaListFormatedWithAdress>
  <DomainObject.Predmet.ProtuStrankaListFormatedWithAdressOIB>
    <izvorni_sadrzaj>
      <item>VOĆNI VRT d.o.o., OIB 43365110112, Heinzelova 47/A, 10000 Zagreb</item>
    </izvorni_sadrzaj>
    <derivirana_varijabla naziv="DomainObject.Predmet.ProtuStrankaListFormatedWithAdressOIB_1">
      <item>VOĆNI VRT d.o.o., OIB 43365110112, Heinzelova 47/A, 10000 Zagreb</item>
    </derivirana_varijabla>
  </DomainObject.Predmet.ProtuStrankaListFormatedWithAdressOIB>
  <DomainObject.Predmet.ProtuStrankaListNazivFormated>
    <izvorni_sadrzaj>
      <item>VOĆNI VRT d.o.o.</item>
    </izvorni_sadrzaj>
    <derivirana_varijabla naziv="DomainObject.Predmet.ProtuStrankaListNazivFormated_1">
      <item>VOĆNI VRT d.o.o.</item>
    </derivirana_varijabla>
  </DomainObject.Predmet.ProtuStrankaListNazivFormated>
  <DomainObject.Predmet.ProtuStrankaListNazivFormatedOIB>
    <izvorni_sadrzaj>
      <item>VOĆNI VRT d.o.o., OIB 43365110112</item>
    </izvorni_sadrzaj>
    <derivirana_varijabla naziv="DomainObject.Predmet.ProtuStrankaListNazivFormatedOIB_1">
      <item>VOĆNI VRT d.o.o., OIB 43365110112</item>
    </derivirana_varijabla>
  </DomainObject.Predmet.ProtuStrankaListNazivFormatedOIB>
  <DomainObject.Predmet.OstaliListFormated>
    <izvorni_sadrzaj>
      <item>ŽUPANIJSKO DRŽAVNO ODVJETNIŠTVO U ZAGREBU</item>
      <item>REPUBLIKA HRVATSKA MINISTARSTVO FINANCIJA</item>
      <item>Jacob Segev</item>
      <item>Financijska agencija</item>
    </izvorni_sadrzaj>
    <derivirana_varijabla naziv="DomainObject.Predmet.OstaliListFormated_1">
      <item>ŽUPANIJSKO DRŽAVNO ODVJETNIŠTVO U ZAGREBU</item>
      <item>REPUBLIKA HRVATSKA MINISTARSTVO FINANCIJA</item>
      <item>Jacob Segev</item>
      <item>Financijska agencija</item>
    </derivirana_varijabla>
  </DomainObject.Predmet.OstaliListFormated>
  <DomainObject.Predmet.OstaliListFormatedOIB>
    <izvorni_sadrzaj>
      <item>ŽUPANIJSKO DRŽAVNO ODVJETNIŠTVO U ZAGREBU, OIB 16488001145</item>
      <item>REPUBLIKA HRVATSKA MINISTARSTVO FINANCIJA, OIB 18683136487</item>
      <item>Jacob Segev</item>
      <item>Financijska agencija, OIB 85821130368</item>
    </izvorni_sadrzaj>
    <derivirana_varijabla naziv="DomainObject.Predmet.OstaliListFormatedOIB_1">
      <item>ŽUPANIJSKO DRŽAVNO ODVJETNIŠTVO U ZAGREBU, OIB 16488001145</item>
      <item>REPUBLIKA HRVATSKA MINISTARSTVO FINANCIJA, OIB 18683136487</item>
      <item>Jacob Segev</item>
      <item>Financijska agencija, OIB 85821130368</item>
    </derivirana_varijabla>
  </DomainObject.Predmet.OstaliListFormatedOIB>
  <DomainObject.Predmet.OstaliListFormatedWithAdress>
    <izvorni_sadrzaj>
      <item>ŽUPANIJSKO DRŽAVNO ODVJETNIŠTVO U ZAGREBU, Savska Cesta 41, 10000 Zagreb</item>
      <item>REPUBLIKA HRVATSKA MINISTARSTVO FINANCIJA, Av. Dubrovnik 32, 10000 Zagreb</item>
      <item>Jacob Segev</item>
      <item>Financijska agencija, Ulica grada Vukovara 70, 10000 Zagreb</item>
    </izvorni_sadrzaj>
    <derivirana_varijabla naziv="DomainObject.Predmet.OstaliListFormatedWithAdress_1">
      <item>ŽUPANIJSKO DRŽAVNO ODVJETNIŠTVO U ZAGREBU, Savska Cesta 41, 10000 Zagreb</item>
      <item>REPUBLIKA HRVATSKA MINISTARSTVO FINANCIJA, Av. Dubrovnik 32, 10000 Zagreb</item>
      <item>Jacob Segev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REPUBLIKA HRVATSKA MINISTARSTVO FINANCIJA, OIB 18683136487, Av. Dubrovnik 32, 10000 Zagreb</item>
      <item>Jacob Segev</item>
      <item>Financijska agencija, OIB 85821130368, Ulica grada Vukovara 70, 10000 Zagreb</item>
    </izvorni_sadrzaj>
    <derivirana_varijabla naziv="DomainObject.Predmet.OstaliListFormatedWithAdressOIB_1">
      <item>ŽUPANIJSKO DRŽAVNO ODVJETNIŠTVO U ZAGREBU, OIB 16488001145, Savska Cesta 41, 10000 Zagreb</item>
      <item>REPUBLIKA HRVATSKA MINISTARSTVO FINANCIJA, OIB 18683136487, Av. Dubrovnik 32, 10000 Zagreb</item>
      <item>Jacob Segev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ZAGREBU</item>
      <item>REPUBLIKA HRVATSKA MINISTARSTVO FINANCIJA</item>
      <item>Jacob Segev</item>
      <item>Financijska agencija</item>
    </izvorni_sadrzaj>
    <derivirana_varijabla naziv="DomainObject.Predmet.OstaliListNazivFormated_1">
      <item>ŽUPANIJSKO DRŽAVNO ODVJETNIŠTVO U ZAGREBU</item>
      <item>REPUBLIKA HRVATSKA MINISTARSTVO FINANCIJA</item>
      <item>Jacob Segev</item>
      <item>Financijska agencija</item>
    </derivirana_varijabla>
  </DomainObject.Predmet.OstaliListNazivFormated>
  <DomainObject.Predmet.OstaliListNazivFormatedOIB>
    <izvorni_sadrzaj>
      <item>ŽUPANIJSKO DRŽAVNO ODVJETNIŠTVO U ZAGREBU, OIB 16488001145</item>
      <item>REPUBLIKA HRVATSKA MINISTARSTVO FINANCIJA, OIB 18683136487</item>
      <item>Jacob Segev</item>
      <item>Financijska agencija, OIB 85821130368</item>
    </izvorni_sadrzaj>
    <derivirana_varijabla naziv="DomainObject.Predmet.OstaliListNazivFormatedOIB_1">
      <item>ŽUPANIJSKO DRŽAVNO ODVJETNIŠTVO U ZAGREBU, OIB 16488001145</item>
      <item>REPUBLIKA HRVATSKA MINISTARSTVO FINANCIJA, OIB 18683136487</item>
      <item>Jacob Segev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VOĆNI VRT d.o.o.</izvorni_sadrzaj>
    <derivirana_varijabla naziv="DomainObject.Predmet.StrankaIDrugi_1">VOĆNI VRT d.o.o.</derivirana_varijabla>
  </DomainObject.Predmet.StrankaIDrugi>
  <DomainObject.Predmet.ProtustrankaIDrugi>
    <izvorni_sadrzaj>VOĆNI VRT d.o.o.</izvorni_sadrzaj>
    <derivirana_varijabla naziv="DomainObject.Predmet.ProtustrankaIDrugi_1">VOĆNI VRT d.o.o.</derivirana_varijabla>
  </DomainObject.Predmet.ProtustrankaIDrugi>
  <DomainObject.Predmet.StrankaIDrugiAdressOIB>
    <izvorni_sadrzaj>VOĆNI VRT d.o.o., OIB 43365110112, Heinzelova 47/A, 10000 Zagreb</izvorni_sadrzaj>
    <derivirana_varijabla naziv="DomainObject.Predmet.StrankaIDrugiAdressOIB_1">VOĆNI VRT d.o.o., OIB 43365110112, Heinzelova 47/A, 10000 Zagreb</derivirana_varijabla>
  </DomainObject.Predmet.StrankaIDrugiAdressOIB>
  <DomainObject.Predmet.ProtustrankaIDrugiAdressOIB>
    <izvorni_sadrzaj>VOĆNI VRT d.o.o., OIB 43365110112, Heinzelova 47/A, 10000 Zagreb</izvorni_sadrzaj>
    <derivirana_varijabla naziv="DomainObject.Predmet.ProtustrankaIDrugiAdressOIB_1">VOĆNI VRT d.o.o., OIB 43365110112,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VOĆNI VRT d.o.o.</item>
      <item>VOĆNI VRT d.o.o.</item>
      <item>ŽUPANIJSKO DRŽAVNO ODVJETNIŠTVO U ZAGREBU</item>
      <item>REPUBLIKA HRVATSKA MINISTARSTVO FINANCIJA</item>
      <item>Jacob Segev</item>
      <item>Financijska agencija</item>
    </izvorni_sadrzaj>
    <derivirana_varijabla naziv="DomainObject.Predmet.SudioniciListNaziv_1">
      <item>VOĆNI VRT d.o.o.</item>
      <item>VOĆNI VRT d.o.o.</item>
      <item>ŽUPANIJSKO DRŽAVNO ODVJETNIŠTVO U ZAGREBU</item>
      <item>REPUBLIKA HRVATSKA MINISTARSTVO FINANCIJA</item>
      <item>Jacob Segev</item>
      <item>Financijska agencija</item>
    </derivirana_varijabla>
  </DomainObject.Predmet.SudioniciListNaziv>
  <DomainObject.Predmet.SudioniciListAdressOIB>
    <izvorni_sadrzaj>
      <item>VOĆNI VRT d.o.o., OIB 43365110112, Heinzelova 47/A,10000 Zagreb</item>
      <item>VOĆNI VRT d.o.o., OIB 43365110112, Heinzelova 47/A,10000 Zagreb</item>
      <item>ŽUPANIJSKO DRŽAVNO ODVJETNIŠTVO U ZAGREBU, OIB 16488001145, Savska Cesta 41,10000 Zagreb</item>
      <item>REPUBLIKA HRVATSKA MINISTARSTVO FINANCIJA, OIB 18683136487, Av. Dubrovnik 32,10000 Zagreb</item>
      <item>Jacob Segev</item>
      <item>Financijska agencija, OIB 85821130368, Ulica grada Vukovara 70,10000 Zagreb</item>
    </izvorni_sadrzaj>
    <derivirana_varijabla naziv="DomainObject.Predmet.SudioniciListAdressOIB_1">
      <item>VOĆNI VRT d.o.o., OIB 43365110112, Heinzelova 47/A,10000 Zagreb</item>
      <item>VOĆNI VRT d.o.o., OIB 43365110112, Heinzelova 47/A,10000 Zagreb</item>
      <item>ŽUPANIJSKO DRŽAVNO ODVJETNIŠTVO U ZAGREBU, OIB 16488001145, Savska Cesta 41,10000 Zagreb</item>
      <item>REPUBLIKA HRVATSKA MINISTARSTVO FINANCIJA, OIB 18683136487, Av. Dubrovnik 32,10000 Zagreb</item>
      <item>Jacob Segev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43365110112</item>
      <item>, OIB 43365110112</item>
      <item>, OIB 16488001145</item>
      <item>, OIB 18683136487</item>
      <item>, OIB null</item>
      <item>, OIB 85821130368</item>
    </izvorni_sadrzaj>
    <derivirana_varijabla naziv="DomainObject.Predmet.SudioniciListNazivOIB_1">
      <item>, OIB 43365110112</item>
      <item>, OIB 43365110112</item>
      <item>, OIB 16488001145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1188</properties:Words>
  <properties:Characters>7248</properties:Characters>
  <properties:Lines>228</properties:Lines>
  <properties:Paragraphs>83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2017-01-31T09:33:00Z</dcterms:created>
  <dc:creator>nribaric</dc:creator>
  <cp:lastModifiedBy>Jadranka Zelić</cp:lastModifiedBy>
  <cp:lastPrinted>2017-01-31T09:40:00Z</cp:lastPrinted>
  <dcterms:modified xmlns:xsi="http://www.w3.org/2001/XMLSchema-instance" xsi:type="dcterms:W3CDTF">2017-01-31T09:42:00Z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