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249bf" w14:paraId="34249bf" w:rsidRDefault="008C04AA" w:rsidP="008C04AA" w:rsidR="008C04AA" w:rsidRPr="00694576">
      <w:pPr>
        <w15:collapsed w:val="false"/>
        <w:rPr>
          <w:b/>
        </w:rPr>
      </w:pPr>
      <w:bookmarkStart w:name="_GoBack" w:id="0"/>
      <w:bookmarkEnd w:id="0"/>
      <w:r w:rsidRPr="00694576">
        <w:rPr>
          <w:b/>
        </w:rPr>
        <w:t xml:space="preserve">       </w:t>
      </w:r>
      <w:r w:rsidR="00F42AC8">
        <w:rPr>
          <w:b/>
        </w:rPr>
        <w:t xml:space="preserve">  </w:t>
      </w:r>
      <w:r w:rsidRPr="00694576">
        <w:rPr>
          <w:b/>
        </w:rPr>
        <w:t xml:space="preserve">          </w:t>
      </w:r>
      <w:r w:rsidRPr="00694576">
        <w:rPr>
          <w:b/>
          <w:noProof/>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694576">
        <w:rPr>
          <w:b/>
        </w:rPr>
        <w:t xml:space="preserve">                                                            </w:t>
      </w:r>
    </w:p>
    <w:p w:rsidRDefault="008C04AA" w:rsidP="00B271A9" w:rsidR="008C04AA" w:rsidRPr="00694576">
      <w:r w:rsidRPr="00694576">
        <w:t xml:space="preserve"> </w:t>
      </w:r>
      <w:r w:rsidR="00F42AC8">
        <w:t xml:space="preserve">   </w:t>
      </w:r>
      <w:r w:rsidRPr="00694576">
        <w:t xml:space="preserve">REPUBLIKA HRVATSKA </w:t>
      </w:r>
      <w:r w:rsidRPr="00694576">
        <w:tab/>
      </w:r>
      <w:r w:rsidRPr="00694576">
        <w:tab/>
      </w:r>
      <w:r w:rsidRPr="00694576">
        <w:tab/>
      </w:r>
      <w:r w:rsidRPr="00694576">
        <w:tab/>
      </w:r>
      <w:r w:rsidRPr="00694576">
        <w:tab/>
      </w:r>
    </w:p>
    <w:p w:rsidRDefault="008C04AA" w:rsidP="00B271A9" w:rsidR="008C04AA" w:rsidRPr="00694576">
      <w:r w:rsidRPr="00694576">
        <w:t xml:space="preserve"> TRGOVAČKI SUD U PAZINU</w:t>
      </w:r>
    </w:p>
    <w:p w:rsidRDefault="008C04AA" w:rsidP="00B271A9" w:rsidR="008C04AA" w:rsidRPr="00694576">
      <w:r w:rsidRPr="00694576">
        <w:t xml:space="preserve"> </w:t>
      </w:r>
      <w:r w:rsidR="00F42AC8">
        <w:tab/>
      </w:r>
      <w:r w:rsidR="00694576" w:rsidRPr="00694576">
        <w:t>Pazin</w:t>
      </w:r>
      <w:r w:rsidRPr="00694576">
        <w:t>, Dršćevka 1</w:t>
      </w:r>
      <w:r w:rsidRPr="00694576">
        <w:tab/>
      </w:r>
      <w:r w:rsidRPr="00694576">
        <w:tab/>
      </w:r>
      <w:r w:rsidRPr="00694576">
        <w:tab/>
      </w:r>
      <w:r w:rsidRPr="00694576">
        <w:tab/>
      </w:r>
      <w:r w:rsidRPr="00694576">
        <w:tab/>
      </w:r>
    </w:p>
    <w:p w:rsidRDefault="008C04AA" w:rsidP="008C04AA" w:rsidR="008C04AA" w:rsidRPr="00694576">
      <w:pPr>
        <w:jc w:val="both"/>
      </w:pPr>
    </w:p>
    <w:p w:rsidRDefault="008C04AA" w:rsidP="008C04AA" w:rsidR="008C04AA" w:rsidRPr="00694576">
      <w:pPr>
        <w:jc w:val="center"/>
      </w:pPr>
      <w:r w:rsidRPr="00694576">
        <w:t>R E P U B L I K A   H R V A T S K A</w:t>
      </w:r>
    </w:p>
    <w:p w:rsidRDefault="008C04AA" w:rsidP="008C04AA" w:rsidR="008C04AA" w:rsidRPr="00694576">
      <w:pPr>
        <w:jc w:val="center"/>
      </w:pPr>
      <w:r w:rsidRPr="00694576">
        <w:t>R J E Š E N J E</w:t>
      </w:r>
    </w:p>
    <w:p w:rsidRDefault="008C04AA" w:rsidP="008C04AA" w:rsidR="008C04AA" w:rsidRPr="00694576">
      <w:pPr>
        <w:jc w:val="both"/>
      </w:pPr>
    </w:p>
    <w:p w:rsidRDefault="008C04AA" w:rsidP="008C04AA" w:rsidR="008D67D3" w:rsidRPr="00694576">
      <w:pPr>
        <w:jc w:val="both"/>
      </w:pPr>
      <w:r w:rsidRPr="00694576">
        <w:tab/>
      </w:r>
      <w:r w:rsidR="005F652C" w:rsidRPr="00694576">
        <w:t xml:space="preserve">Trgovački sud u Pazinu, po sucu Ivanu Dujiću, </w:t>
      </w:r>
      <w:r w:rsidR="00CB5612">
        <w:t xml:space="preserve">u </w:t>
      </w:r>
      <w:r w:rsidR="005F652C" w:rsidRPr="00694576">
        <w:t>stečajno</w:t>
      </w:r>
      <w:r w:rsidR="00CB5612">
        <w:t>m</w:t>
      </w:r>
      <w:r w:rsidR="005F652C" w:rsidRPr="00694576">
        <w:t xml:space="preserve"> postupk</w:t>
      </w:r>
      <w:r w:rsidR="00CB5612">
        <w:t>u</w:t>
      </w:r>
      <w:r w:rsidR="005F652C" w:rsidRPr="00694576">
        <w:t xml:space="preserve"> nad dužnikom INTEC d.o.o. </w:t>
      </w:r>
      <w:r w:rsidR="00CB5612">
        <w:t xml:space="preserve">u stečaju </w:t>
      </w:r>
      <w:r w:rsidR="005F652C" w:rsidRPr="00694576">
        <w:t xml:space="preserve">Pula, Radićeva 40, OIB: 98649267172, </w:t>
      </w:r>
      <w:r w:rsidR="002E0070">
        <w:t>1</w:t>
      </w:r>
      <w:r w:rsidR="00F13312">
        <w:t>4</w:t>
      </w:r>
      <w:r w:rsidR="005F652C" w:rsidRPr="00694576">
        <w:t xml:space="preserve">. </w:t>
      </w:r>
      <w:r w:rsidR="002E0070">
        <w:t>listopada</w:t>
      </w:r>
      <w:r w:rsidR="005F652C" w:rsidRPr="00694576">
        <w:t xml:space="preserve"> 2016.</w:t>
      </w:r>
    </w:p>
    <w:p w:rsidRDefault="005F652C" w:rsidP="008C04AA" w:rsidR="005F652C" w:rsidRPr="00694576">
      <w:pPr>
        <w:jc w:val="both"/>
      </w:pPr>
    </w:p>
    <w:p w:rsidRDefault="008C04AA" w:rsidP="008C04AA" w:rsidR="008C04AA" w:rsidRPr="00694576">
      <w:pPr>
        <w:jc w:val="center"/>
      </w:pPr>
      <w:r w:rsidRPr="00694576">
        <w:t>r i j e š i o  j e</w:t>
      </w:r>
    </w:p>
    <w:p w:rsidRDefault="008C04AA" w:rsidP="008C04AA" w:rsidR="008C04AA" w:rsidRPr="00694576">
      <w:pPr>
        <w:jc w:val="center"/>
      </w:pPr>
    </w:p>
    <w:p w:rsidRDefault="008C04AA" w:rsidP="009B1C1E" w:rsidR="009B1C1E">
      <w:pPr>
        <w:jc w:val="both"/>
      </w:pPr>
      <w:r w:rsidRPr="00694576">
        <w:tab/>
      </w:r>
      <w:r w:rsidR="009B1C1E" w:rsidRPr="009B1C1E">
        <w:t xml:space="preserve">Određuje se prodaja u stečajnom postupku nekretnina stečajnog dužnika </w:t>
      </w:r>
      <w:r w:rsidR="00E13AF4" w:rsidRPr="00694576">
        <w:t xml:space="preserve">INTEC d.o.o. </w:t>
      </w:r>
      <w:r w:rsidR="009B1C1E">
        <w:t xml:space="preserve">u stečaju </w:t>
      </w:r>
      <w:r w:rsidR="00E13AF4" w:rsidRPr="00694576">
        <w:t>Pula, Radićeva 40, OIB: 98649267172</w:t>
      </w:r>
      <w:r w:rsidRPr="00694576">
        <w:t xml:space="preserve">, </w:t>
      </w:r>
      <w:r w:rsidR="009B1C1E">
        <w:t>označenih</w:t>
      </w:r>
      <w:r w:rsidR="009B1C1E" w:rsidRPr="00A336AC">
        <w:t xml:space="preserve"> kao</w:t>
      </w:r>
      <w:r w:rsidR="009B1C1E">
        <w:t>:</w:t>
      </w:r>
    </w:p>
    <w:p w:rsidRDefault="00256EE1" w:rsidP="009B1C1E" w:rsidR="00256EE1">
      <w:pPr>
        <w:jc w:val="both"/>
      </w:pPr>
    </w:p>
    <w:p w:rsidRDefault="009B1C1E" w:rsidP="009B1C1E" w:rsidR="009B1C1E" w:rsidRPr="00694576">
      <w:pPr>
        <w:jc w:val="both"/>
      </w:pPr>
      <w:r>
        <w:tab/>
      </w:r>
      <w:r w:rsidRPr="00694576">
        <w:t>- k.č. 245/4 k.o. Premantura, stambena zgrada, dvorište uz stambenu zgradu, Runjačica 50/b podul. 1 – 15, i to:</w:t>
      </w:r>
    </w:p>
    <w:p w:rsidRDefault="009B1C1E" w:rsidP="009B1C1E" w:rsidR="009B1C1E" w:rsidRPr="00694576">
      <w:pPr>
        <w:jc w:val="both"/>
      </w:pPr>
      <w:r w:rsidRPr="00694576">
        <w:tab/>
      </w:r>
      <w:r w:rsidRPr="00694576">
        <w:tab/>
        <w:t>- 7. Suvlasnički dio: 46/654 ETAŽNO VLASNIŠTVO (E-7) s kojim je povezano pravo vlasništva na posebnom dijelu stan-apartman A7 na I. katu koji se sastoji od kuhinje, blagovaonice i dnevnog boravka površine 25,90 m2, kupaone površine 4,55 m2, spavaće sobe površine 10,20 m2 i terase površine 5,25 m2, ukupne površine 45,90 m2, a koji je na Planu posebnih dijelova zgrade označen kao A7, obojan ljubičastom bojom, označen brojevima od 31 do 34,</w:t>
      </w:r>
    </w:p>
    <w:p w:rsidRDefault="009B1C1E" w:rsidP="009B1C1E" w:rsidR="009B1C1E" w:rsidRPr="00694576">
      <w:pPr>
        <w:jc w:val="both"/>
      </w:pPr>
      <w:r w:rsidRPr="00694576">
        <w:tab/>
      </w:r>
      <w:r w:rsidRPr="00694576">
        <w:tab/>
        <w:t>- 10. Suvlasnički dio: 43/654 ETAŽNO VLASNIŠTVO (E-10) s kojim je povezano pravo vlasništva na posebnom dijelu konoba u podrumu ukupne površine 42,74 m2, a koja je na Planu posebnih dijelova označen kao B, obojan svjetlo plavom bojom, označena brojem 50,</w:t>
      </w:r>
    </w:p>
    <w:p w:rsidRDefault="009B1C1E" w:rsidP="009B1C1E" w:rsidR="009B1C1E" w:rsidRPr="00694576">
      <w:pPr>
        <w:jc w:val="both"/>
      </w:pPr>
      <w:r w:rsidRPr="00694576">
        <w:tab/>
      </w:r>
      <w:r w:rsidRPr="00694576">
        <w:tab/>
        <w:t>- 12. Suvlasnički dio: 39/654 ETAŽNO VLASNIŠTVO (E-12) s kojim je povezano pravo vlasništva na posebnom dijelu trim sala u podrumu, koja se sastoji od trim sale površine 35,51 m2 i kupaone površine 3,43 m2, ukupne površine 38,94 m2, a koja je na Planu posebnih dijelova označen kao D, obojana tamno zelenom bojom, označena brojevima od 52 do 53,</w:t>
      </w:r>
    </w:p>
    <w:p w:rsidRDefault="009B1C1E" w:rsidP="009B1C1E" w:rsidR="009B1C1E" w:rsidRPr="00694576">
      <w:pPr>
        <w:jc w:val="both"/>
      </w:pPr>
      <w:r w:rsidRPr="00694576">
        <w:tab/>
      </w:r>
      <w:r w:rsidRPr="00694576">
        <w:tab/>
        <w:t>- 13. Suvlasnički dio: 14/654 ETAŽNO VLASNIŠTVO (E-13) s kojim je povezano pravo vlasništva na posebnom dijelu garaža u podrumu, ukupne površine 14,37 m2, a koja je na Planu posebnih dijelova zgrade označena slovom E, obojana crvenom bojom, označena brojem 54,</w:t>
      </w:r>
    </w:p>
    <w:p w:rsidRDefault="009B1C1E" w:rsidP="009B1C1E" w:rsidR="009B1C1E" w:rsidRPr="00694576">
      <w:pPr>
        <w:jc w:val="both"/>
      </w:pPr>
      <w:r w:rsidRPr="00694576">
        <w:tab/>
      </w:r>
      <w:r w:rsidRPr="00694576">
        <w:tab/>
        <w:t>- 14. Suvlasnički dio: 14/654 ETAŽNO VLASNIŠTVO (E-14) s kojim je povezano pravo vlasništva na posebnom dijelu garaža u podrumu, ukupne površine 14,45 m2, a koja je na Planu posebnih dijelova zgrade označena slovom F, obojana smeđom bojom, označena brojem 55;</w:t>
      </w:r>
    </w:p>
    <w:p w:rsidRDefault="009B1C1E" w:rsidP="009B1C1E" w:rsidR="009B1C1E" w:rsidRPr="00694576">
      <w:pPr>
        <w:jc w:val="both"/>
      </w:pPr>
    </w:p>
    <w:p w:rsidRDefault="009B1C1E" w:rsidP="009B1C1E" w:rsidR="009B1C1E" w:rsidRPr="00694576">
      <w:pPr>
        <w:jc w:val="both"/>
      </w:pPr>
      <w:r w:rsidRPr="00694576">
        <w:tab/>
        <w:t>- k.č. 236/10 k.o. Prematura, kolektivna stambena zgrada, garaža, dvorište, podul. 1-13, i to:</w:t>
      </w:r>
    </w:p>
    <w:p w:rsidRDefault="009B1C1E" w:rsidP="009B1C1E" w:rsidR="009B1C1E" w:rsidRPr="00694576">
      <w:pPr>
        <w:jc w:val="both"/>
      </w:pPr>
      <w:r w:rsidRPr="00694576">
        <w:tab/>
      </w:r>
      <w:r w:rsidRPr="00694576">
        <w:tab/>
        <w:t xml:space="preserve">-  8. Suvlasnički dio: 21/446 ETAŽNO VLASNIŠTVO (E-8) s kojim je povezano pravo vlasništva na garažu u podrumu, ukupne površine 20,74 m2, a koji je u planu </w:t>
      </w:r>
      <w:r w:rsidRPr="00694576">
        <w:lastRenderedPageBreak/>
        <w:t>posebnih dijelova zgrade označen slovom "H", obojan tamno zelenom bojom, označen brojem 44,</w:t>
      </w:r>
    </w:p>
    <w:p w:rsidRDefault="009B1C1E" w:rsidP="009B1C1E" w:rsidR="009B1C1E" w:rsidRPr="00694576">
      <w:pPr>
        <w:jc w:val="both"/>
      </w:pPr>
      <w:r w:rsidRPr="00694576">
        <w:tab/>
      </w:r>
      <w:r w:rsidRPr="00694576">
        <w:tab/>
        <w:t xml:space="preserve">-   9. Suvlasnički dio: 21/446 ETAŽNO VLASNIŠTVO (E-9) s kojim je povezano pravo vlasništva na garažu u podrumu, ukupne površine 20,65 m2, a koji je u planu posebnih dijelova zgrade označen slovom "I", obojan svjetlo smeđom bojom, označen brojem 45, te </w:t>
      </w:r>
    </w:p>
    <w:p w:rsidRDefault="009B1C1E" w:rsidP="009B1C1E" w:rsidR="00F07B51">
      <w:pPr>
        <w:jc w:val="both"/>
      </w:pPr>
      <w:r w:rsidRPr="00694576">
        <w:tab/>
      </w:r>
      <w:r w:rsidRPr="00694576">
        <w:tab/>
        <w:t>- 10. Suvlasnički dio: 17/446 ETAŽNO VLASNIŠTVO (E-10) s kojim je povezano pravo vlasništva na garažu u gospodarskoj zgradi, ukupne površine 16,80 m2, a koji je u planu posebnih dijelova zgrade označen slovom "J", obojan tamno crvenom bojom, označen brojem 46</w:t>
      </w:r>
      <w:r>
        <w:t>;</w:t>
      </w:r>
    </w:p>
    <w:p w:rsidRDefault="009B1C1E" w:rsidP="009B1C1E" w:rsidR="009B1C1E" w:rsidRPr="00694576">
      <w:pPr>
        <w:jc w:val="both"/>
      </w:pPr>
    </w:p>
    <w:p w:rsidRDefault="004A2979" w:rsidP="002E0070" w:rsidR="009B1C1E">
      <w:pPr>
        <w:jc w:val="both"/>
      </w:pPr>
      <w:r w:rsidRPr="00694576">
        <w:tab/>
        <w:t xml:space="preserve">- </w:t>
      </w:r>
      <w:r w:rsidR="00E13AF4" w:rsidRPr="00694576">
        <w:t xml:space="preserve">k.č. </w:t>
      </w:r>
      <w:r w:rsidR="002E0070">
        <w:t>245/1</w:t>
      </w:r>
      <w:r w:rsidR="00E13AF4" w:rsidRPr="00694576">
        <w:t xml:space="preserve"> k.o. Premantura,</w:t>
      </w:r>
      <w:r w:rsidR="002E0070">
        <w:t xml:space="preserve"> kolektivna stambena zgrada i dvorište uz stambenu zgradu,  podul.1.- 22. </w:t>
      </w:r>
      <w:r w:rsidR="00E13AF4" w:rsidRPr="00694576">
        <w:t xml:space="preserve">i to </w:t>
      </w:r>
      <w:r w:rsidR="002E0070">
        <w:t>18. Suvlasnički dio: 21/968 etažno vlasništvo (E-18) s kojim je povezano pravo vlasništva na poseban dio S, koji se nalazi u podrumu zgrade, a sastoji se od g</w:t>
      </w:r>
      <w:r w:rsidR="009B1C1E">
        <w:t>araže, ukupne površine 20,70 m2,</w:t>
      </w:r>
    </w:p>
    <w:p w:rsidRDefault="009B1C1E" w:rsidP="002E0070" w:rsidR="009B1C1E">
      <w:pPr>
        <w:jc w:val="both"/>
      </w:pPr>
    </w:p>
    <w:p w:rsidRDefault="009B1C1E" w:rsidP="009B1C1E" w:rsidR="009B1C1E" w:rsidRPr="00A336AC">
      <w:pPr>
        <w:jc w:val="both"/>
      </w:pPr>
      <w:r w:rsidRPr="00A336AC">
        <w:t>uz odgovarajuću primjenu pravila o ovrsi na nekretnini. Pravila o obustavi postupka ne primjenjuju se.</w:t>
      </w:r>
    </w:p>
    <w:p w:rsidRDefault="009B1C1E" w:rsidP="009B1C1E" w:rsidR="009B1C1E" w:rsidRPr="00A336AC">
      <w:pPr>
        <w:jc w:val="both"/>
      </w:pPr>
    </w:p>
    <w:p w:rsidRDefault="009B1C1E" w:rsidP="009B1C1E" w:rsidR="009B1C1E" w:rsidRPr="00A336AC">
      <w:pPr>
        <w:jc w:val="both"/>
      </w:pPr>
      <w:r w:rsidRPr="00A336AC">
        <w:t xml:space="preserve">II. </w:t>
      </w:r>
      <w:r w:rsidRPr="00A336AC">
        <w:tab/>
        <w:t xml:space="preserve">Nalaže se zemljišno - knjižnom odjelu </w:t>
      </w:r>
      <w:r w:rsidRPr="00AB69F0">
        <w:t>Općinskog suda u Puli</w:t>
      </w:r>
      <w:r>
        <w:t>,</w:t>
      </w:r>
      <w:r w:rsidRPr="00A336AC">
        <w:t xml:space="preserve"> </w:t>
      </w:r>
      <w:r>
        <w:t xml:space="preserve">da </w:t>
      </w:r>
      <w:r w:rsidRPr="00A336AC">
        <w:t>upi</w:t>
      </w:r>
      <w:r>
        <w:t>še</w:t>
      </w:r>
      <w:r w:rsidRPr="00A336AC">
        <w:t xml:space="preserve"> zabilježbu ovog rješenja o prodaji nekretnine, na nekretnin</w:t>
      </w:r>
      <w:r>
        <w:t>ama</w:t>
      </w:r>
      <w:r w:rsidRPr="00A336AC">
        <w:t xml:space="preserve"> iz točke I. izreke ovog rješenja.</w:t>
      </w:r>
    </w:p>
    <w:p w:rsidRDefault="009B1C1E" w:rsidP="002E0070" w:rsidR="009B1C1E" w:rsidRPr="00694576">
      <w:pPr>
        <w:jc w:val="both"/>
      </w:pPr>
    </w:p>
    <w:p w:rsidRDefault="008C04AA" w:rsidP="008C04AA" w:rsidR="008C04AA" w:rsidRPr="00694576">
      <w:pPr>
        <w:jc w:val="center"/>
      </w:pPr>
      <w:r w:rsidRPr="00694576">
        <w:t>Obrazloženje</w:t>
      </w:r>
    </w:p>
    <w:p w:rsidRDefault="00664682" w:rsidP="008C04AA" w:rsidR="00664682" w:rsidRPr="00694576">
      <w:pPr>
        <w:jc w:val="both"/>
      </w:pPr>
    </w:p>
    <w:p w:rsidRDefault="00664682" w:rsidP="002E0070" w:rsidR="009B1C1E">
      <w:pPr>
        <w:jc w:val="both"/>
      </w:pPr>
      <w:r w:rsidRPr="00694576">
        <w:tab/>
      </w:r>
      <w:r w:rsidR="002E0070">
        <w:t>Rješenjem ovog suda p</w:t>
      </w:r>
      <w:r w:rsidR="002E0070" w:rsidRPr="002E0070">
        <w:t>osl.br.</w:t>
      </w:r>
      <w:r w:rsidR="002E0070">
        <w:t xml:space="preserve"> </w:t>
      </w:r>
      <w:r w:rsidR="002E0070" w:rsidRPr="002E0070">
        <w:t>St-534/16-9</w:t>
      </w:r>
      <w:r w:rsidR="002E0070">
        <w:t xml:space="preserve"> od 29. ožujka 2016. otvoren je stečajni postupak nad dužnikom INTEC d.o.o. Pula, Radićeva 40, OIB: 98649267172. </w:t>
      </w:r>
      <w:r w:rsidR="002E0070" w:rsidRPr="00CD0EDC">
        <w:t>U</w:t>
      </w:r>
      <w:r w:rsidR="009B1C1E">
        <w:t xml:space="preserve">tvrđeno je da su u stečajnoj masi </w:t>
      </w:r>
      <w:r w:rsidR="002E0070" w:rsidRPr="00CD0EDC">
        <w:t>nekretnin</w:t>
      </w:r>
      <w:r w:rsidR="002E0070">
        <w:t>e</w:t>
      </w:r>
      <w:r w:rsidR="002E0070" w:rsidRPr="00CD0EDC">
        <w:t xml:space="preserve"> naveden</w:t>
      </w:r>
      <w:r w:rsidR="002E0070">
        <w:t>e</w:t>
      </w:r>
      <w:r w:rsidR="002E0070" w:rsidRPr="00CD0EDC">
        <w:t xml:space="preserve"> u izreci ovog rješenja.</w:t>
      </w:r>
      <w:r w:rsidR="002E0070">
        <w:t xml:space="preserve"> </w:t>
      </w:r>
      <w:r w:rsidR="006E1921">
        <w:t>Uvidom u zemljišnoknjižne izvatke za predmetne nekretnine utvrđeno je da su na njima upisana razlučna prava.</w:t>
      </w:r>
    </w:p>
    <w:p w:rsidRDefault="006E1921" w:rsidP="006E1921" w:rsidR="009B1C1E">
      <w:pPr>
        <w:jc w:val="both"/>
      </w:pPr>
      <w:r>
        <w:tab/>
      </w:r>
    </w:p>
    <w:p w:rsidRDefault="006E1921" w:rsidP="00BE5A8E" w:rsidR="00BE5A8E">
      <w:pPr>
        <w:jc w:val="both"/>
      </w:pPr>
      <w:r>
        <w:tab/>
        <w:t xml:space="preserve">Na izvještajnom ročištu održanom 29. lipnja 2016. </w:t>
      </w:r>
      <w:r w:rsidR="00BE5A8E">
        <w:t>stečajni upravitelj je predložio prodaju nekretnina, s time da se nekretnine na kojima je upisano razlučno pravo u korist Veneto Banke d.d.  Zagreb</w:t>
      </w:r>
      <w:r w:rsidR="00BE5A8E" w:rsidRPr="00BE5A8E">
        <w:t xml:space="preserve"> </w:t>
      </w:r>
      <w:r w:rsidR="00BE5A8E">
        <w:t xml:space="preserve">prodaju u ovršnom postupku koji je trenutno u prekidu. Radi se o </w:t>
      </w:r>
      <w:r w:rsidR="00BE5A8E" w:rsidRPr="00694576">
        <w:t xml:space="preserve"> k.č. 245/4 k.o. Premantura, stambena zgrada, dvorište uz stambenu zgradu, Runjačica 50/b podul. 1 </w:t>
      </w:r>
      <w:r w:rsidR="00641C5A">
        <w:t>-</w:t>
      </w:r>
      <w:r w:rsidR="00BE5A8E" w:rsidRPr="00694576">
        <w:t xml:space="preserve"> 15, 12. Suvlasnički dio: 39/654 ETAŽNO VLASNIŠTVO (E-12) s kojim je povezano pravo vlasništva na posebnom dijelu trim sala u podrumu, koja se sastoji od trim sale površine 35,51 m2 i kupaone površine 3,43 m2, ukupne površine 38,94 m2, a koja je na Planu posebnih dijelova označen kao D, obojana tamno zelenom bojom,</w:t>
      </w:r>
      <w:r w:rsidR="00BE5A8E">
        <w:t xml:space="preserve"> označena brojevima od 52 do 53; </w:t>
      </w:r>
      <w:r w:rsidR="00BE5A8E" w:rsidRPr="00694576">
        <w:t xml:space="preserve"> k.č. 236/10 k.o. Prema</w:t>
      </w:r>
      <w:r w:rsidR="000161E5">
        <w:t>n</w:t>
      </w:r>
      <w:r w:rsidR="00BE5A8E" w:rsidRPr="00694576">
        <w:t>tura, kolektivna stambena zgrada, garaža, dvorište, podul. 1-13, 8. Suvlasnički dio: 21/446 ETAŽNO VLASNIŠTVO (E-8) s kojim je povezano pravo vlasništva na garažu u podrumu, ukupne površine 20,74 m2, a koji je u planu posebnih dijelova zgrade označen slovom "H", obojan tamno zelenom bojom, označen brojem 44,</w:t>
      </w:r>
      <w:r w:rsidR="00BE5A8E">
        <w:t xml:space="preserve"> </w:t>
      </w:r>
      <w:r w:rsidR="00BE5A8E" w:rsidRPr="00694576">
        <w:t>9. Suvlasnički dio: 21/446 ETAŽNO VLASNIŠTVO (E-9) s kojim je povezano pravo vlasništva na garažu u podrumu, ukupne površine 20,65 m2, a koji je u planu posebnih dijelova zgrade označen slovom "I", obojan svjetlo smeđ</w:t>
      </w:r>
      <w:r w:rsidR="00BE5A8E">
        <w:t xml:space="preserve">om bojom, označen brojem 45, i </w:t>
      </w:r>
      <w:r w:rsidR="00BE5A8E" w:rsidRPr="00694576">
        <w:t>10. Suvlasnički dio: 17/446 ETAŽNO VLASNIŠTVO (E-10) s kojim je povezano pravo vlasništva na garažu u gospodarskoj zgradi, ukupne površine 16,80 m2, a koji je u planu posebnih dijelova zgrade označen slovom "J", obojan tamno crvenom bojom, označen brojem 46</w:t>
      </w:r>
      <w:r w:rsidR="00BE5A8E">
        <w:t>.</w:t>
      </w:r>
    </w:p>
    <w:p w:rsidRDefault="00C140F4" w:rsidP="00C140F4" w:rsidR="006E1921">
      <w:pPr>
        <w:jc w:val="both"/>
      </w:pPr>
      <w:r>
        <w:tab/>
      </w:r>
      <w:r w:rsidR="00BE5A8E">
        <w:t xml:space="preserve">Skupština vjerovnika </w:t>
      </w:r>
      <w:r>
        <w:t>je p</w:t>
      </w:r>
      <w:r w:rsidR="00BE5A8E">
        <w:t>rihva</w:t>
      </w:r>
      <w:r>
        <w:t>tila</w:t>
      </w:r>
      <w:r w:rsidR="00BE5A8E">
        <w:t xml:space="preserve"> prijedlog stečajnog upravitelja o načinu prodaje  nekretnina stečajnog dužnika.</w:t>
      </w:r>
    </w:p>
    <w:p w:rsidRDefault="009B1C1E" w:rsidP="002E0070" w:rsidR="009B1C1E">
      <w:pPr>
        <w:jc w:val="both"/>
      </w:pPr>
    </w:p>
    <w:p w:rsidRDefault="0051603B" w:rsidP="002E0070" w:rsidR="0051603B">
      <w:pPr>
        <w:jc w:val="both"/>
      </w:pPr>
      <w:r>
        <w:tab/>
        <w:t>15. srpnja 2016. zaprimljen je podnesak javnog bilježnika Mirne Pliško iz Pule u kojem se navodi kako slijedi:</w:t>
      </w:r>
    </w:p>
    <w:p w:rsidRDefault="0051603B" w:rsidP="002E0070" w:rsidR="00C140F4">
      <w:pPr>
        <w:jc w:val="both"/>
      </w:pPr>
      <w:r>
        <w:tab/>
        <w:t>„</w:t>
      </w:r>
      <w:r w:rsidR="00E41DF2" w:rsidRPr="00E41DF2">
        <w:t>Stečajni dužnik INTEC d.o.o. i</w:t>
      </w:r>
      <w:r>
        <w:t>m</w:t>
      </w:r>
      <w:r w:rsidR="00E41DF2" w:rsidRPr="00E41DF2">
        <w:t>a dospjelu</w:t>
      </w:r>
      <w:r>
        <w:t>,</w:t>
      </w:r>
      <w:r w:rsidR="00E41DF2" w:rsidRPr="00E41DF2">
        <w:t xml:space="preserve"> a neplaćenu tražbinu iz Ugovora o okvirnom iznosu zaduženja i osiguranju broj: 34/2006 sa Sporazumom stranaka o prijenosu prava vlasništva na nekretninama radi osiguranja novčane tražbine od 25.05.2006. (posl.br. OU-488/06 od 26.05.2006) i Aneksa broj 1. Ugovora o okvirnom iznosu zaduženja i osiguranju broj 34/2006 sa Sporazumom stranaka o prijenosu prava vlasništva na nekretninama radi osiguranja novčane tražbine od 29.08.2008. (posl. br. OV-11434/08-1 o</w:t>
      </w:r>
      <w:r>
        <w:t>d 09.09.2008.) zaključenog izmeđ</w:t>
      </w:r>
      <w:r w:rsidR="00E41DF2" w:rsidRPr="00E41DF2">
        <w:t>u fiducijarnog vjerovnika / kreditora GOSPODARSKO-KREDITNA BANKA d.d. iz Zagreba, Istra — Poslovnica za štedno-kreditne i devizne poslove Pula, sa sjedištem Pula, Flavijevska 8 - pravni prednik VENETO BANKE d.d., a koja su oba postala ovršna sa danom 28.02.2010. godine.</w:t>
      </w:r>
    </w:p>
    <w:p w:rsidRDefault="0051603B" w:rsidP="002E0070" w:rsidR="00C140F4">
      <w:pPr>
        <w:jc w:val="both"/>
      </w:pPr>
      <w:r>
        <w:tab/>
      </w:r>
      <w:r w:rsidR="00E41DF2" w:rsidRPr="00E41DF2">
        <w:t xml:space="preserve">Tražbina razlučnog vjerovnika VENETO BANKE d.d. u Zapisniku sa Skupštine vjerovnika (izvještajno ročište) od 29.06.2016. utvrđena je u iznosu od 1.191.820,02 kn </w:t>
      </w:r>
      <w:r>
        <w:t>i</w:t>
      </w:r>
      <w:r w:rsidR="00E41DF2" w:rsidRPr="00E41DF2">
        <w:t xml:space="preserve"> na istom ročištu je na str. 5., kod zaključaka i pr</w:t>
      </w:r>
      <w:r>
        <w:t>ij</w:t>
      </w:r>
      <w:r w:rsidR="00E41DF2" w:rsidRPr="00E41DF2">
        <w:t>edloga u toč. 4. navedeno je: „Što se tiče nekretnina na kojima postoji razlučno pravo u korist VENETO BANKE d.d. stečajni upravitelj predlaže da se prodaja istih nastavi u ovršnom postupku koji je trenutno u prekidu.</w:t>
      </w:r>
    </w:p>
    <w:p w:rsidRDefault="0051603B" w:rsidP="00E41DF2" w:rsidR="00E41DF2">
      <w:pPr>
        <w:jc w:val="both"/>
      </w:pPr>
      <w:r>
        <w:tab/>
      </w:r>
      <w:r w:rsidR="00E41DF2">
        <w:t>Javni bilježnik je 04.07.2016. dobio zahtjev razlučnog vjerovnika za nastavak postupka prodaje, iako smatramo da je za to ovlašten samo stečajni upravitelj odnosno stečajni sud. Nadalje, smatramo i da ne postoje zakonske mogućnosti da javni bilježnik nastavi prekinuti izvansudski postupak prodaje predmeta osiguranja po 61. 316. i 317. ZO što se obrazlaže kako slijedi.</w:t>
      </w:r>
    </w:p>
    <w:p w:rsidRDefault="0051603B" w:rsidP="00E41DF2" w:rsidR="00E41DF2">
      <w:pPr>
        <w:jc w:val="both"/>
      </w:pPr>
      <w:r>
        <w:tab/>
      </w:r>
      <w:r w:rsidR="00E41DF2">
        <w:t xml:space="preserve">Razlučni vjerovnik (kao fiducijarni vjerovnik) je 23.01.2012. temeljem svojih ovlasti iz </w:t>
      </w:r>
      <w:r>
        <w:t>čl</w:t>
      </w:r>
      <w:r w:rsidR="00E41DF2">
        <w:t>. 277 OZ, nakon što mu je tražbina dospjela putem javnog bilježnika pokrenuo izvansudski postupak unovčenja predmeta osiguranja, da bi kasnije od toga pozivom na čl. 277 st.10. OZ odustao.</w:t>
      </w:r>
    </w:p>
    <w:p w:rsidRDefault="0051603B" w:rsidP="00E41DF2" w:rsidR="00C140F4">
      <w:pPr>
        <w:jc w:val="both"/>
      </w:pPr>
      <w:r>
        <w:tab/>
      </w:r>
      <w:r w:rsidR="00E41DF2">
        <w:t xml:space="preserve">Razlučni vjerovnik (kao fiducijarni vjerovnik) je ponovno Prijedlogom od 12.04.2012. prema svojim ovlastima sada iz </w:t>
      </w:r>
      <w:r>
        <w:t>čl</w:t>
      </w:r>
      <w:r w:rsidR="00E41DF2">
        <w:t>. 274 f. st. 3 OZ ( Narodne novine br. 57/96, 29/99, 42/00, 173/03, 194/03, 15 1/04 i 88/05) zatražio od javnog bilježnika da se provede izvansudsko unovčenje predmeta osiguranja preko javnog bilježnika  (Narodne novine br. 57/96, 29/99, 42/00, 173/03, 194/03, 15 1/04 i 88/05) zakazivanjem prve javne dražbe za prodaju predmeta osiguranja. Dražba je provedena, predmeti osiguranja nisu prodani (nije bilo zainteresiranih osoba) pa do izvansudskog namirenja fiducijarnog vjerovnika (ovdje razlučnog vjerovnika) nije došlo.</w:t>
      </w:r>
    </w:p>
    <w:p w:rsidRDefault="0051603B" w:rsidP="002E0070" w:rsidR="00C140F4">
      <w:pPr>
        <w:jc w:val="both"/>
      </w:pPr>
      <w:r>
        <w:tab/>
      </w:r>
      <w:r w:rsidR="00195136" w:rsidRPr="00195136">
        <w:t>Razlučni vjerovnik kao (fiducija</w:t>
      </w:r>
      <w:r>
        <w:t>rni</w:t>
      </w:r>
      <w:r w:rsidR="00195136" w:rsidRPr="00195136">
        <w:t xml:space="preserve"> vjerovnik) je prema svojim ovlastima iz čl. 316. i č1. 317. OZ (NN br.112/12, 25/13, 93/2014) Prijedlogom od 18.03.2016. ponovno zatražio izvansudsko unovčenje predmeta osiguranja - putem druge javne dražbe za prodaju predmeta osiguranja putem javnog bilježnika</w:t>
      </w:r>
      <w:r w:rsidR="00195136">
        <w:t>.</w:t>
      </w:r>
    </w:p>
    <w:p w:rsidRDefault="0051603B" w:rsidP="00195136" w:rsidR="00195136">
      <w:pPr>
        <w:jc w:val="both"/>
      </w:pPr>
      <w:r>
        <w:tab/>
      </w:r>
      <w:r w:rsidR="00195136">
        <w:t>Oglas za drugu izvansudsku javnu dražbu objavljen je 02.04.2016., a dražba se je trebala održati dana 09.05.2016. godine. Kako je stečajni postupak nad stečajnim dužnikom INTEC d.o.o. otvoren 29.0</w:t>
      </w:r>
      <w:r>
        <w:t>3.2016. nastupile su pravne posl</w:t>
      </w:r>
      <w:r w:rsidR="00195136">
        <w:t>jedice njegovog otvaranja pa je javni bilježnik (čl. 212. st.</w:t>
      </w:r>
      <w:r>
        <w:t xml:space="preserve"> </w:t>
      </w:r>
      <w:r w:rsidR="00195136">
        <w:t>l. toč.5. ZPP) putem dnevnog tiska i e-oglasne ploče suda obavijestio (jer po OZ nema mogućnosti da donosi rješenje) da se druga javna dražba neće održati jer su nastupile pravne posljedice otvaranja stečajnog postupka.</w:t>
      </w:r>
    </w:p>
    <w:p w:rsidRDefault="0051603B" w:rsidP="00195136" w:rsidR="00195136">
      <w:pPr>
        <w:jc w:val="both"/>
      </w:pPr>
      <w:r>
        <w:tab/>
      </w:r>
      <w:r w:rsidR="00195136">
        <w:t>Dakle za zaključiti je, da u konkretnom predmetu nije u t</w:t>
      </w:r>
      <w:r>
        <w:t>oku sudska ovrha koja bi se mogl</w:t>
      </w:r>
      <w:r w:rsidR="00195136">
        <w:t>a prema zaključku skupštine vjerovnika nastaviti u</w:t>
      </w:r>
      <w:r w:rsidR="00DC12DD">
        <w:t>z</w:t>
      </w:r>
      <w:r w:rsidR="00195136">
        <w:t xml:space="preserve"> uvjet da su se ostvarili uvjeti iz č</w:t>
      </w:r>
      <w:r w:rsidR="00DC12DD">
        <w:t>l</w:t>
      </w:r>
      <w:r w:rsidR="00195136">
        <w:t xml:space="preserve">. 441. st.2., i odredbe </w:t>
      </w:r>
      <w:r w:rsidR="00DC12DD">
        <w:t>čl. 169. st. 5. do 8. SZ. I</w:t>
      </w:r>
      <w:r w:rsidR="00195136">
        <w:t>z izvatka iz zem</w:t>
      </w:r>
      <w:r w:rsidR="00DC12DD">
        <w:t>ljišnih knjiga, nigdje nije vidljiva zabilježba</w:t>
      </w:r>
      <w:r w:rsidR="00195136">
        <w:t xml:space="preserve"> ovrhe na nekretninama što dokazuje da sudska ovrha nije u toku.</w:t>
      </w:r>
    </w:p>
    <w:p w:rsidRDefault="00DC12DD" w:rsidP="00195136" w:rsidR="00195136">
      <w:pPr>
        <w:jc w:val="both"/>
      </w:pPr>
      <w:r>
        <w:tab/>
      </w:r>
      <w:r w:rsidR="00195136">
        <w:t>U toku je bio postupak izvansudske prodaje putem javnog bilježnika koja se ne može nas</w:t>
      </w:r>
      <w:r>
        <w:t>t</w:t>
      </w:r>
      <w:r w:rsidR="00195136">
        <w:t>av</w:t>
      </w:r>
      <w:r>
        <w:t>iti jer su nastupile pravne posl</w:t>
      </w:r>
      <w:r w:rsidR="00195136">
        <w:t xml:space="preserve">jedice otvaranja stečajnog postupka i predlagatelj osiguranja (razlučni vjerovnik) više nema prava na unovčenje predmeta osiguranja putem javnog bilježnika već samo putem suda ( </w:t>
      </w:r>
      <w:r>
        <w:t>čl</w:t>
      </w:r>
      <w:r w:rsidR="00195136">
        <w:t>. 150. SZ).</w:t>
      </w:r>
    </w:p>
    <w:p w:rsidRDefault="00DC12DD" w:rsidP="00195136" w:rsidR="00195136">
      <w:pPr>
        <w:jc w:val="both"/>
      </w:pPr>
      <w:r>
        <w:tab/>
      </w:r>
      <w:r w:rsidR="00195136">
        <w:t>Ovlasti javnog bilježnika u postupku izvansudske prodaje koje proizlaze iz čl. 316. i 317. OZ nisu takve da bi mogao donositi odluke kao ovršni sud npr.: rješenje o dosudi, rješenje o namirenju, nalagati zabilježbe ili uknjižbe odnosno brisanja tereta u zemljišnoj knjizi. Javnom bilježniku je jedino dopušteno u to</w:t>
      </w:r>
      <w:r>
        <w:t>m</w:t>
      </w:r>
      <w:r w:rsidR="00195136">
        <w:t xml:space="preserve"> izvansudskom postupku prodaje po č1. 317. st.</w:t>
      </w:r>
      <w:r w:rsidR="00B177E0">
        <w:t xml:space="preserve"> </w:t>
      </w:r>
      <w:r w:rsidR="00195136">
        <w:t>3. OZ u ime predlagatelja osiguranja (ovdje razlučnog vjerovnika) sa kupcem (pošto položi kupovninu) sklopiti u obliku javnobilježničkog akta - ugovor o prodaji, u zemljišnim knjigama ishoditi samo brisanje zabilježbe da je nekretnina na predlagatelja osiguranja bila prenesena radi osiguranja (ne brišu se svi tereti), a nova</w:t>
      </w:r>
      <w:r>
        <w:t>c</w:t>
      </w:r>
      <w:r w:rsidR="00195136">
        <w:t xml:space="preserve"> dobiven prodajom predati predlagatelju osiguranja (ovdje razlučnom vjerovniku), što bi bi</w:t>
      </w:r>
      <w:r>
        <w:t>lo suprotno izričitoj odredbi čl</w:t>
      </w:r>
      <w:r w:rsidR="00195136">
        <w:t>. 248 ( čl</w:t>
      </w:r>
      <w:r>
        <w:t>. 164. a.) SZ jer je istom određ</w:t>
      </w:r>
      <w:r w:rsidR="00195136">
        <w:t>eno da se razlučni vjerovnici namiruju isključivo u stečajnom postupku od iznosa dobivenog od ovršnog suda.</w:t>
      </w:r>
    </w:p>
    <w:p w:rsidRDefault="00DC12DD" w:rsidP="00195136" w:rsidR="00195136">
      <w:pPr>
        <w:jc w:val="both"/>
      </w:pPr>
      <w:r>
        <w:tab/>
      </w:r>
      <w:r w:rsidR="00195136">
        <w:t>Daljnje postupanje javnog bilježnika prema zaključku sa Zapisnika sa skupštine vjerovnika od 29.06.2016., bilo bi suprotno osnovnom pravilu da se pravo na odvojeno namirenje razlučnih vjerovnika ostvaruje po pravilima Stečajnog zakona o unovčenju stvari</w:t>
      </w:r>
    </w:p>
    <w:p w:rsidRDefault="00195136" w:rsidP="00195136" w:rsidR="00195136">
      <w:pPr>
        <w:jc w:val="both"/>
      </w:pPr>
      <w:r>
        <w:t>prava na kojima postoji razlučno pravo, i da o unovčenju predmeta razlučnog prava odlučuje stečajni sud odnosno stečajni upravitelj (čl. 247. st.1. SZ)., i to bez obzira da li je već prije otvaranja stečajnog postupka bio pokrenut postupak sudske ovrhe ili ne.</w:t>
      </w:r>
    </w:p>
    <w:p w:rsidRDefault="00DC12DD" w:rsidP="00195136" w:rsidR="00C140F4">
      <w:pPr>
        <w:jc w:val="both"/>
      </w:pPr>
      <w:r>
        <w:tab/>
      </w:r>
      <w:r w:rsidR="00195136">
        <w:t>Stoga što se kao javni bilježnik iz gore navedenih razloga smatram nenadležnom za daljnje postupanje, u skladu sa čl. 150. i 167. SZ dostavlj</w:t>
      </w:r>
      <w:r>
        <w:t xml:space="preserve">am spis na daljnje postupanje u </w:t>
      </w:r>
      <w:r w:rsidR="00195136">
        <w:t>stečajnom postupku. U slučaju da sud smatra da se po</w:t>
      </w:r>
      <w:r>
        <w:t xml:space="preserve">stupak prodaje može nastaviti u </w:t>
      </w:r>
      <w:r w:rsidR="00195136">
        <w:t xml:space="preserve">izvansudskom postupku prodaje po javnom bilježniku, </w:t>
      </w:r>
      <w:r>
        <w:t>molim da o tome donese</w:t>
      </w:r>
      <w:r w:rsidR="00195136">
        <w:t xml:space="preserve"> rješenje sa uputom o postupanju javnog bilježnika u takvoj proda</w:t>
      </w:r>
      <w:r>
        <w:t>ji.</w:t>
      </w:r>
    </w:p>
    <w:p w:rsidRDefault="00256EE1" w:rsidP="00195136" w:rsidR="00105129">
      <w:pPr>
        <w:jc w:val="both"/>
      </w:pPr>
      <w:r>
        <w:tab/>
        <w:t xml:space="preserve">Uz taj podnesak </w:t>
      </w:r>
      <w:r w:rsidRPr="00256EE1">
        <w:t>javn</w:t>
      </w:r>
      <w:r>
        <w:t xml:space="preserve">a </w:t>
      </w:r>
      <w:r w:rsidRPr="00256EE1">
        <w:t>bilježni</w:t>
      </w:r>
      <w:r>
        <w:t xml:space="preserve">ca </w:t>
      </w:r>
      <w:r w:rsidRPr="00256EE1">
        <w:t>Mirn</w:t>
      </w:r>
      <w:r>
        <w:t>a</w:t>
      </w:r>
      <w:r w:rsidRPr="00256EE1">
        <w:t xml:space="preserve"> Pliško iz Pule</w:t>
      </w:r>
      <w:r>
        <w:t xml:space="preserve"> dostavila je spis predmeta broj OU-488/06, Ov-11434/08.</w:t>
      </w:r>
    </w:p>
    <w:p w:rsidRDefault="00256EE1" w:rsidP="00195136" w:rsidR="00256EE1">
      <w:pPr>
        <w:jc w:val="both"/>
      </w:pPr>
    </w:p>
    <w:p w:rsidRDefault="00256EE1" w:rsidP="00C37863" w:rsidR="00C37863">
      <w:pPr>
        <w:jc w:val="both"/>
      </w:pPr>
      <w:r>
        <w:tab/>
        <w:t xml:space="preserve">U podnesku od 29. srpnja 2016. razlučni vjerovnik Veneto banka d.d. Zagreb naveo je da se, </w:t>
      </w:r>
      <w:r w:rsidR="00CF76C0">
        <w:t>imajući u vidu činjenicu da je predmetni stečajni postupak pokrenut 11.</w:t>
      </w:r>
      <w:r>
        <w:t xml:space="preserve"> ožujka </w:t>
      </w:r>
      <w:r w:rsidR="00CF76C0">
        <w:t>2013. na isti primjenjuju odredbe Stečajnog zakona (NN 44/96, 161/98, 29/99, 129/00, 123/03, 187/06, 116/10, 25/12, 133/12, 45/13) (d</w:t>
      </w:r>
      <w:r>
        <w:t>alje u tekstu „SZ/96"), na temel</w:t>
      </w:r>
      <w:r w:rsidR="00CF76C0">
        <w:t>ju čl. 441. st. 1. Stečajnog zakona (NN 71/15) (dalje u tekstu „SZ/15").</w:t>
      </w:r>
      <w:r>
        <w:t xml:space="preserve"> </w:t>
      </w:r>
      <w:r w:rsidR="00CF76C0" w:rsidRPr="00CF76C0">
        <w:t>Sve i da je stečajni postupak pokrenut nakon stupanja na snagu SZ/15 opet bi se na konkretni stečajni postupak u odnosu na unovčenje nekretnine na kojoj postoji razlučno pravo prim</w:t>
      </w:r>
      <w:r w:rsidR="00A156AE">
        <w:t>jenjivale odredbe SZ/96 na temel</w:t>
      </w:r>
      <w:r w:rsidR="00CF76C0" w:rsidRPr="00CF76C0">
        <w:t xml:space="preserve">ju </w:t>
      </w:r>
      <w:r>
        <w:t>čl</w:t>
      </w:r>
      <w:r w:rsidR="00CF76C0" w:rsidRPr="00CF76C0">
        <w:t>. 441. st. 2. SZ/15 jer radnje u postupku prodaja pred javnom bilježnicom Mirnom Pliško započete prije stupanja na snagu SZ/15 te se slijedom navedenog ima primijeniti SZ/96. Naime, č</w:t>
      </w:r>
      <w:r>
        <w:t>l</w:t>
      </w:r>
      <w:r w:rsidR="00CF76C0" w:rsidRPr="00CF76C0">
        <w:t>. 441. st. 2. SZ/15 koji, između ostalog, propisuje kako se čl. 247. i 248. (unovčenje predmeta na kojima postoji razlučno pravo) primjenjuju na stečajne postupke u tijeku bez obzira kada je stečajni postupak pokrenut, osim ako su  radnje na koje se odnose započete prije stupanja na snagu SZ/15.</w:t>
      </w:r>
      <w:r>
        <w:t xml:space="preserve"> </w:t>
      </w:r>
      <w:r w:rsidR="00A44BB9">
        <w:t>Sukl</w:t>
      </w:r>
      <w:r w:rsidR="00C37863" w:rsidRPr="00C37863">
        <w:t>adno čl. 81.a SZ/96, vjerovnik čija prava proizlaze iz sudskog javnobilježničkog osiguranja tražbine prijenosom vlasništva stvari i</w:t>
      </w:r>
      <w:r w:rsidR="00A44BB9">
        <w:t>l</w:t>
      </w:r>
      <w:r w:rsidR="00C37863" w:rsidRPr="00C37863">
        <w:t>i prijenosom prava ima u stečajnom postupku pravni položaj razlučnog vjerovnika.</w:t>
      </w:r>
      <w:r>
        <w:t xml:space="preserve"> </w:t>
      </w:r>
      <w:r w:rsidR="00C37863" w:rsidRPr="00C37863">
        <w:t xml:space="preserve">Sukladno </w:t>
      </w:r>
      <w:r>
        <w:t>č</w:t>
      </w:r>
      <w:r w:rsidR="00C37863" w:rsidRPr="00C37863">
        <w:t>l. 164. st. 2. SZ/96, ako je razlučni vjerovnik pokrenuo postupak ovrhe na nekretnini radi prisilnog namirenja svoje tražbine prije nego što je stečajni upravitelj predložio njezinu prodaju u stečajnom postupku, nekretnina će se prodati u ovršnom postupku koji je pokrenuo razlučni vjerovnik</w:t>
      </w:r>
      <w:r w:rsidR="00C37863">
        <w:t>.</w:t>
      </w:r>
      <w:r>
        <w:t xml:space="preserve"> </w:t>
      </w:r>
      <w:r w:rsidR="00C37863">
        <w:t>SZ/96 koristi terminologiju postupak ovrhe, a što se odnosi kako na sudske tako na izvansudske postupke ovrhe.</w:t>
      </w:r>
      <w:r>
        <w:t xml:space="preserve"> </w:t>
      </w:r>
      <w:r w:rsidR="00C37863">
        <w:t>Slijedom svega gore navedenog, poziva se sud da vrati javnom bilježniku spis OU</w:t>
      </w:r>
      <w:r>
        <w:t>-</w:t>
      </w:r>
      <w:r w:rsidR="00C37863">
        <w:t xml:space="preserve">488/06, OV-11434/08 kao i da obavijesti </w:t>
      </w:r>
      <w:r>
        <w:t xml:space="preserve">javnog bilježnika </w:t>
      </w:r>
      <w:r w:rsidR="00C37863">
        <w:t xml:space="preserve">da nastavi s postupkom prodaje nekretnina na kojima </w:t>
      </w:r>
      <w:r w:rsidR="00CA165C">
        <w:t>Veneto Banka</w:t>
      </w:r>
      <w:r w:rsidR="00C37863">
        <w:t xml:space="preserve"> d.d. ima razlučno pravo.</w:t>
      </w:r>
    </w:p>
    <w:p w:rsidRDefault="00C37863" w:rsidP="00195136" w:rsidR="00C37863">
      <w:pPr>
        <w:jc w:val="both"/>
      </w:pPr>
    </w:p>
    <w:p w:rsidRDefault="00256EE1" w:rsidP="00195136" w:rsidR="00C37863">
      <w:pPr>
        <w:jc w:val="both"/>
      </w:pPr>
      <w:r>
        <w:tab/>
      </w:r>
      <w:r w:rsidRPr="00256EE1">
        <w:t xml:space="preserve">Odredbom čl. 247. Stečajnog zakona (Narodne novine br. 71/2015, dalje: SZ) propisano je da </w:t>
      </w:r>
      <w:r w:rsidR="00B177E0">
        <w:t xml:space="preserve">se </w:t>
      </w:r>
      <w:r w:rsidRPr="00256EE1">
        <w:t>nekretnina na kojoj postoji razlučno pravo prodaje u stečajnom postupku, na prijedlog steča</w:t>
      </w:r>
      <w:r w:rsidR="00A3006C">
        <w:t>jnoga upravitelja ili razlučnog</w:t>
      </w:r>
      <w:r w:rsidRPr="00256EE1">
        <w:t xml:space="preserve"> vjerovnika, uz odgovarajuću primjenu pravila ovršnoga postupka o ovrsi na nekretnini. Pravila o obustavi postupka ne primjenjuju se (st. 1.). O prodaji nekretnine iz stavka 1. tog članka sud odlučuje rješenjem protiv kojeg pravo na žalbu imaju stečajni upravitelj i razlučni vjerovnici. U rješenju o prodaji nekretnine sud će odrediti da se nekretnina prodaje u stečajnom postupku. U zemljišnoj knjizi upisat će se zabilježba rješenja o prodaji nekretnine (st. 2.).</w:t>
      </w:r>
    </w:p>
    <w:p w:rsidRDefault="00C37863" w:rsidP="00195136" w:rsidR="00C37863">
      <w:pPr>
        <w:jc w:val="both"/>
      </w:pPr>
    </w:p>
    <w:p w:rsidRDefault="00256EE1" w:rsidP="00256EE1" w:rsidR="00256EE1">
      <w:pPr>
        <w:jc w:val="both"/>
      </w:pPr>
      <w:r>
        <w:tab/>
        <w:t xml:space="preserve">Uvidom u zemljišnoknjižne izvatke za nekretnine </w:t>
      </w:r>
      <w:r w:rsidRPr="00CD0EDC">
        <w:t>naveden</w:t>
      </w:r>
      <w:r>
        <w:t>e</w:t>
      </w:r>
      <w:r w:rsidRPr="00CD0EDC">
        <w:t xml:space="preserve"> u izreci ovog rješenja</w:t>
      </w:r>
      <w:r>
        <w:t xml:space="preserve"> utvrđeno je da su na njima upisana razlučna prava.</w:t>
      </w:r>
    </w:p>
    <w:p w:rsidRDefault="00256EE1" w:rsidP="00195136" w:rsidR="00256EE1">
      <w:pPr>
        <w:jc w:val="both"/>
      </w:pPr>
    </w:p>
    <w:p w:rsidRDefault="00256EE1" w:rsidP="006B5B62" w:rsidR="00256EE1">
      <w:pPr>
        <w:jc w:val="both"/>
      </w:pPr>
      <w:r>
        <w:tab/>
      </w:r>
      <w:r w:rsidR="006B5B62">
        <w:t>Nadalje, odredbom čl. 150. SZ-a propisano je da vjerovnik čija prava proizlaze iz sudskoga ili javnobilježničkoga osiguranja tražbine prijenosom vlasništva stvari ili prijenosom prava ima u stečajnom postupku pravni položaj razlučnog vjerovnika (st. 1.).  Otvaranjem stečajnoga postupka vjerovnik iz stavka 1. toga članka gubi pravo otuđenja i opterećenja stvari ili prava koja su na njega prenesena sudskim ili javnobilježničkim osiguranjem tražbine (st. 2.). Pravni poslovi sklopljeni protivno odredbi stavka 2. toga članka nisu valjani (st. 3.).</w:t>
      </w:r>
    </w:p>
    <w:p w:rsidRDefault="006B5B62" w:rsidP="006B5B62" w:rsidR="006B5B62">
      <w:pPr>
        <w:jc w:val="both"/>
      </w:pPr>
    </w:p>
    <w:p w:rsidRDefault="006B5B62" w:rsidP="0010138C" w:rsidR="00B177E0">
      <w:pPr>
        <w:jc w:val="both"/>
      </w:pPr>
      <w:r>
        <w:tab/>
        <w:t xml:space="preserve">Budući da je nad dužnikom otvoren stečajni postupak razlučni </w:t>
      </w:r>
      <w:r w:rsidRPr="006B5B62">
        <w:t xml:space="preserve">vjerovnik Veneto banka d.d. Zagreb </w:t>
      </w:r>
      <w:r>
        <w:t>(</w:t>
      </w:r>
      <w:r w:rsidRPr="006B5B62">
        <w:t>čija prava proizlaze iz javnobilježničkoga osiguranja tražbine prijenosom vlasništva stvari</w:t>
      </w:r>
      <w:r>
        <w:t xml:space="preserve">) izgubio je </w:t>
      </w:r>
      <w:r w:rsidRPr="006B5B62">
        <w:t xml:space="preserve">pravo otuđenja </w:t>
      </w:r>
      <w:r>
        <w:t>nekretnina koje</w:t>
      </w:r>
      <w:r w:rsidRPr="006B5B62">
        <w:t xml:space="preserve"> su na njega prenesen</w:t>
      </w:r>
      <w:r>
        <w:t>e</w:t>
      </w:r>
      <w:r w:rsidRPr="006B5B62">
        <w:t xml:space="preserve"> javnobilježničkim osiguranjem tražbine (</w:t>
      </w:r>
      <w:r>
        <w:t xml:space="preserve">čl. 150. </w:t>
      </w:r>
      <w:r w:rsidRPr="006B5B62">
        <w:t>st. 2.</w:t>
      </w:r>
      <w:r>
        <w:t xml:space="preserve"> SZ-a</w:t>
      </w:r>
      <w:r w:rsidRPr="006B5B62">
        <w:t xml:space="preserve">). </w:t>
      </w:r>
      <w:r w:rsidR="0010138C">
        <w:t xml:space="preserve">Stoga, prema </w:t>
      </w:r>
      <w:r w:rsidR="0010138C" w:rsidRPr="00B177E0">
        <w:t xml:space="preserve">čl. 150. st. </w:t>
      </w:r>
      <w:r w:rsidR="0010138C">
        <w:t>3</w:t>
      </w:r>
      <w:r w:rsidR="0010138C" w:rsidRPr="00B177E0">
        <w:t>. SZ-a</w:t>
      </w:r>
      <w:r w:rsidR="0010138C">
        <w:t xml:space="preserve">, ne bi bio </w:t>
      </w:r>
      <w:r w:rsidR="00A94A08">
        <w:t>valjan niti ugovor o prodaji koji bi javni biljež</w:t>
      </w:r>
      <w:r w:rsidR="00A3006C">
        <w:t>nik, sukladno čl</w:t>
      </w:r>
      <w:r w:rsidR="00A94A08">
        <w:t xml:space="preserve">. 317. st. 3. Ovršnog zakona, eventualno </w:t>
      </w:r>
      <w:r w:rsidR="00A94A08" w:rsidRPr="00B177E0">
        <w:t>sklopi</w:t>
      </w:r>
      <w:r w:rsidR="00A94A08">
        <w:t>o</w:t>
      </w:r>
      <w:r w:rsidR="00A94A08" w:rsidRPr="00B177E0">
        <w:t xml:space="preserve"> </w:t>
      </w:r>
      <w:r w:rsidR="00B177E0" w:rsidRPr="00B177E0">
        <w:t xml:space="preserve">sa kupcem </w:t>
      </w:r>
      <w:r w:rsidR="00A94A08">
        <w:t>(</w:t>
      </w:r>
      <w:r w:rsidR="00B177E0" w:rsidRPr="00B177E0">
        <w:t>u obliku javnobilježničkog akta</w:t>
      </w:r>
      <w:r w:rsidR="0010138C">
        <w:t xml:space="preserve">) kroz javnobilježnički postupak prodaje predmetnih nekretnina. </w:t>
      </w:r>
    </w:p>
    <w:p w:rsidRDefault="006B5B62" w:rsidP="00905C83" w:rsidR="00905C83" w:rsidRPr="00A336AC">
      <w:pPr>
        <w:jc w:val="both"/>
      </w:pPr>
      <w:r>
        <w:tab/>
        <w:t xml:space="preserve">Stoga je, </w:t>
      </w:r>
      <w:r w:rsidR="00905C83" w:rsidRPr="00A336AC">
        <w:t xml:space="preserve">temeljem čl. </w:t>
      </w:r>
      <w:r w:rsidR="00905C83">
        <w:t>247. st. 1. i 2. S</w:t>
      </w:r>
      <w:r>
        <w:t>Z-a,</w:t>
      </w:r>
      <w:r w:rsidR="00905C83">
        <w:t xml:space="preserve"> </w:t>
      </w:r>
      <w:r w:rsidR="00905C83" w:rsidRPr="00A336AC">
        <w:t>odluč</w:t>
      </w:r>
      <w:r w:rsidR="00905C83">
        <w:t xml:space="preserve">eno </w:t>
      </w:r>
      <w:r w:rsidR="00905C83" w:rsidRPr="00A336AC">
        <w:t xml:space="preserve"> kao u izreci. </w:t>
      </w:r>
    </w:p>
    <w:p w:rsidRDefault="006B5B62" w:rsidP="00905C83" w:rsidR="006B5B62">
      <w:pPr>
        <w:jc w:val="center"/>
      </w:pPr>
    </w:p>
    <w:p w:rsidRDefault="00905C83" w:rsidP="00905C83" w:rsidR="00905C83" w:rsidRPr="00A336AC">
      <w:pPr>
        <w:jc w:val="center"/>
      </w:pPr>
      <w:r w:rsidRPr="00A336AC">
        <w:t xml:space="preserve">U Pazinu, </w:t>
      </w:r>
      <w:r w:rsidR="006B5B62">
        <w:t>1</w:t>
      </w:r>
      <w:r w:rsidR="00F13312">
        <w:t>4</w:t>
      </w:r>
      <w:r>
        <w:t>.</w:t>
      </w:r>
      <w:r w:rsidRPr="00A336AC">
        <w:t xml:space="preserve"> </w:t>
      </w:r>
      <w:r>
        <w:t>listopada</w:t>
      </w:r>
      <w:r w:rsidRPr="00A336AC">
        <w:t xml:space="preserve"> 201</w:t>
      </w:r>
      <w:r>
        <w:t>6</w:t>
      </w:r>
      <w:r w:rsidRPr="00A336AC">
        <w:t>.</w:t>
      </w:r>
    </w:p>
    <w:p w:rsidRDefault="00905C83" w:rsidP="00905C83" w:rsidR="00905C83" w:rsidRPr="00A336AC"/>
    <w:p w:rsidRDefault="00905C83" w:rsidP="00905C83" w:rsidR="00905C83" w:rsidRPr="00A336AC">
      <w:r w:rsidRPr="00A336AC">
        <w:t xml:space="preserve">                                                                                        </w:t>
      </w:r>
      <w:r w:rsidRPr="00A336AC">
        <w:tab/>
        <w:t xml:space="preserve">      </w:t>
      </w:r>
      <w:r>
        <w:tab/>
      </w:r>
      <w:r w:rsidRPr="00A336AC">
        <w:t>Stečajni sudac</w:t>
      </w:r>
    </w:p>
    <w:p w:rsidRDefault="00905C83" w:rsidP="00905C83" w:rsidR="00905C83" w:rsidRPr="00A336AC">
      <w:pPr>
        <w:ind w:firstLine="708"/>
      </w:pPr>
      <w:r w:rsidRPr="00A336AC">
        <w:tab/>
      </w:r>
      <w:r w:rsidRPr="00A336AC">
        <w:tab/>
      </w:r>
      <w:r w:rsidRPr="00A336AC">
        <w:tab/>
      </w:r>
      <w:r w:rsidRPr="00A336AC">
        <w:tab/>
      </w:r>
      <w:r w:rsidRPr="00A336AC">
        <w:tab/>
        <w:t xml:space="preserve">                   </w:t>
      </w:r>
    </w:p>
    <w:p w:rsidRDefault="00905C83" w:rsidP="00905C83" w:rsidR="00905C83" w:rsidRPr="00A336AC">
      <w:pPr>
        <w:ind w:firstLine="708"/>
      </w:pPr>
      <w:r w:rsidRPr="00A336AC">
        <w:tab/>
      </w:r>
      <w:r w:rsidRPr="00A336AC">
        <w:tab/>
      </w:r>
      <w:r w:rsidRPr="00A336AC">
        <w:tab/>
      </w:r>
      <w:r w:rsidRPr="00A336AC">
        <w:tab/>
      </w:r>
      <w:r w:rsidRPr="00A336AC">
        <w:tab/>
      </w:r>
      <w:r w:rsidRPr="00A336AC">
        <w:tab/>
        <w:t xml:space="preserve">        </w:t>
      </w:r>
      <w:r w:rsidRPr="00A336AC">
        <w:tab/>
        <w:t xml:space="preserve">         </w:t>
      </w:r>
      <w:r>
        <w:tab/>
        <w:t xml:space="preserve">  </w:t>
      </w:r>
      <w:r w:rsidRPr="00A336AC">
        <w:t>Ivan Dujić</w:t>
      </w:r>
    </w:p>
    <w:p w:rsidRDefault="00905C83" w:rsidP="00905C83" w:rsidR="00905C83"/>
    <w:p w:rsidRDefault="000161E5" w:rsidP="00905C83" w:rsidR="000161E5"/>
    <w:p w:rsidRDefault="0010138C" w:rsidP="00905C83" w:rsidR="0010138C"/>
    <w:p w:rsidRDefault="0010138C" w:rsidP="00905C83" w:rsidR="0010138C"/>
    <w:p w:rsidRDefault="0010138C" w:rsidP="00905C83" w:rsidR="0010138C" w:rsidRPr="00A336AC"/>
    <w:p w:rsidRDefault="00905C83" w:rsidP="00905C83" w:rsidR="00905C83" w:rsidRPr="00A336AC">
      <w:r w:rsidRPr="00A336AC">
        <w:t>UPUTA O PRAVNOM LIJEKU</w:t>
      </w:r>
    </w:p>
    <w:p w:rsidRDefault="00905C83" w:rsidP="00905C83" w:rsidR="00905C83" w:rsidRPr="00A336AC">
      <w:pPr>
        <w:jc w:val="both"/>
      </w:pPr>
      <w:r w:rsidRPr="0011166F">
        <w:t>Stečajni upravitelj i razlučni vjerovnici mogu podnijeti žalbu protiv ovog rješenja u roku od osam dana od dana dostave, a dostava se smatra obavljenom istekom osmoga dana od dana objave pismena na mrežnoj stranici e-oglasna ploča sudova (čl. 12. SZ-a). Žalba se podnosi putem ovog suda u tri istovjetna primjerka, a o žalbi odlučuje Visoki trgovački sud Republike Hrvatske.</w:t>
      </w:r>
    </w:p>
    <w:p w:rsidRDefault="00905C83" w:rsidP="00905C83" w:rsidR="00905C83"/>
    <w:p w:rsidRDefault="00905C83" w:rsidP="00905C83" w:rsidR="00905C83" w:rsidRPr="00A336AC">
      <w:r w:rsidRPr="00A336AC">
        <w:t>DNA:</w:t>
      </w:r>
    </w:p>
    <w:p w:rsidRDefault="00905C83" w:rsidP="00905C83" w:rsidR="00905C83">
      <w:r>
        <w:t>- e – oglasna ploča 8 dana</w:t>
      </w:r>
    </w:p>
    <w:p w:rsidRDefault="00905C83" w:rsidP="00905C83" w:rsidR="00905C83">
      <w:r w:rsidRPr="00A336AC">
        <w:t xml:space="preserve">- </w:t>
      </w:r>
      <w:r w:rsidRPr="00CD0EDC">
        <w:t>stečajnom upravitelju</w:t>
      </w:r>
      <w:r w:rsidRPr="00E016CC">
        <w:t xml:space="preserve"> Bogdan</w:t>
      </w:r>
      <w:r>
        <w:t>u</w:t>
      </w:r>
      <w:r w:rsidRPr="00E016CC">
        <w:t xml:space="preserve"> Veselinović</w:t>
      </w:r>
      <w:r>
        <w:t>u</w:t>
      </w:r>
      <w:r w:rsidRPr="00E016CC">
        <w:t xml:space="preserve"> iz Rijeke, Marijana Stepčića 34</w:t>
      </w:r>
    </w:p>
    <w:p w:rsidRDefault="00905C83" w:rsidP="00905C83" w:rsidR="00905C83" w:rsidRPr="00A336AC">
      <w:r>
        <w:t xml:space="preserve">- </w:t>
      </w:r>
      <w:r w:rsidRPr="00AB69F0">
        <w:t>zemljišnoknjižnom odjelu Općinskog suda u Puli</w:t>
      </w:r>
    </w:p>
    <w:p w:rsidRDefault="00905C83" w:rsidP="00905C83" w:rsidR="00905C83" w:rsidRPr="000161E5">
      <w:r w:rsidRPr="000161E5">
        <w:t>- Republika Hrvatska, Ministarstvo Financija, Porezna uprava, po ŽDO Pula</w:t>
      </w:r>
    </w:p>
    <w:p w:rsidRDefault="000161E5" w:rsidP="00AF11EC" w:rsidR="00AF11EC" w:rsidRPr="000161E5">
      <w:r>
        <w:t>- Sospes d.o.o. Zagreb, U</w:t>
      </w:r>
      <w:r w:rsidRPr="000161E5">
        <w:t xml:space="preserve">lica grada </w:t>
      </w:r>
      <w:r>
        <w:t>V</w:t>
      </w:r>
      <w:r w:rsidRPr="000161E5">
        <w:t>ukovara 269d</w:t>
      </w:r>
    </w:p>
    <w:p w:rsidRDefault="000161E5" w:rsidP="00AF11EC" w:rsidR="000161E5" w:rsidRPr="000161E5">
      <w:r>
        <w:t>- Ve</w:t>
      </w:r>
      <w:r w:rsidRPr="000161E5">
        <w:t xml:space="preserve">neto banka d.d. Zagreb, </w:t>
      </w:r>
      <w:r>
        <w:t>D</w:t>
      </w:r>
      <w:r w:rsidRPr="000161E5">
        <w:t>raškovićeva 58</w:t>
      </w:r>
    </w:p>
    <w:p w:rsidRDefault="000161E5" w:rsidP="00AF11EC" w:rsidR="00AF11EC">
      <w:r w:rsidRPr="000161E5">
        <w:t xml:space="preserve"> - </w:t>
      </w:r>
      <w:r>
        <w:t>HEP</w:t>
      </w:r>
      <w:r w:rsidRPr="000161E5">
        <w:t xml:space="preserve">-operator distribucijskog sustava d.o.o. </w:t>
      </w:r>
      <w:r>
        <w:t>Z</w:t>
      </w:r>
      <w:r w:rsidRPr="000161E5">
        <w:t xml:space="preserve">agreb, </w:t>
      </w:r>
      <w:r>
        <w:t>U</w:t>
      </w:r>
      <w:r w:rsidRPr="000161E5">
        <w:t xml:space="preserve">lica grada </w:t>
      </w:r>
      <w:r>
        <w:t>V</w:t>
      </w:r>
      <w:r w:rsidRPr="000161E5">
        <w:t>ukovara 37</w:t>
      </w:r>
    </w:p>
    <w:p w:rsidRDefault="00A3006C" w:rsidP="00AF11EC" w:rsidR="00A3006C"/>
    <w:p w:rsidRDefault="00A3006C" w:rsidP="00AF11EC" w:rsidR="00A3006C" w:rsidRPr="000161E5"/>
    <w:sectPr w:rsidSect="001A1476" w:rsidR="00A3006C" w:rsidRPr="000161E5">
      <w:headerReference w:type="even" r:id="rId9"/>
      <w:headerReference w:type="default" r:id="rId10"/>
      <w:headerReference w:type="first" r:id="rId11"/>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024BD" w:rsidP="008C04AA" w:rsidR="00E024BD">
      <w:r>
        <w:separator/>
      </w:r>
    </w:p>
  </w:endnote>
  <w:endnote w:id="0" w:type="continuationSeparator">
    <w:p w:rsidRDefault="00E024BD" w:rsidP="008C04AA" w:rsidR="00E024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024BD" w:rsidP="008C04AA" w:rsidR="00E024BD">
      <w:r>
        <w:separator/>
      </w:r>
    </w:p>
  </w:footnote>
  <w:footnote w:id="0" w:type="continuationSeparator">
    <w:p w:rsidRDefault="00E024BD" w:rsidP="008C04AA" w:rsidR="00E024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10671"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10671">
      <w:rPr>
        <w:rStyle w:val="Brojstranice"/>
        <w:noProof/>
      </w:rPr>
      <w:t>6</w:t>
    </w:r>
    <w:r>
      <w:rPr>
        <w:rStyle w:val="Brojstranice"/>
      </w:rPr>
      <w:fldChar w:fldCharType="end"/>
    </w:r>
  </w:p>
  <w:p w:rsidRDefault="00BC6E78" w:rsidP="00DD3FB1" w:rsidR="008A4163" w:rsidRPr="003333BD">
    <w:pPr>
      <w:pStyle w:val="Zaglavlje"/>
    </w:pPr>
    <w:r>
      <w:tab/>
    </w:r>
    <w:r>
      <w:tab/>
    </w:r>
    <w:r w:rsidR="00F42AC8">
      <w:t>Posl.br.: 10 St-534/16-36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R="00E84C66">
    <w:pPr>
      <w:pStyle w:val="Zaglavlje"/>
    </w:pPr>
    <w:r>
      <w:tab/>
    </w:r>
    <w:r>
      <w:tab/>
    </w:r>
    <w:r w:rsidR="008D67D3" w:rsidRPr="008D67D3">
      <w:t xml:space="preserve">      Posl.br.: </w:t>
    </w:r>
    <w:r w:rsidR="008D67D3">
      <w:t>10</w:t>
    </w:r>
    <w:r w:rsidR="008D67D3" w:rsidRPr="008D67D3">
      <w:t xml:space="preserve"> St-</w:t>
    </w:r>
    <w:r w:rsidR="005F652C">
      <w:t>534</w:t>
    </w:r>
    <w:r w:rsidR="008D67D3" w:rsidRPr="008D67D3">
      <w:t>/1</w:t>
    </w:r>
    <w:r w:rsidR="005F652C">
      <w:t>6-</w:t>
    </w:r>
    <w:r w:rsidR="002E0070">
      <w:t>3</w:t>
    </w:r>
    <w:r w:rsidR="009B1C1E">
      <w:t>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04AA"/>
    <w:rsid w:val="00012157"/>
    <w:rsid w:val="000161E5"/>
    <w:rsid w:val="00025D6E"/>
    <w:rsid w:val="00033221"/>
    <w:rsid w:val="00075FD4"/>
    <w:rsid w:val="000D7CB0"/>
    <w:rsid w:val="0010138C"/>
    <w:rsid w:val="00105129"/>
    <w:rsid w:val="00153A82"/>
    <w:rsid w:val="00195136"/>
    <w:rsid w:val="001A1476"/>
    <w:rsid w:val="001A5016"/>
    <w:rsid w:val="001E75F6"/>
    <w:rsid w:val="00220C40"/>
    <w:rsid w:val="00256EE1"/>
    <w:rsid w:val="002668F5"/>
    <w:rsid w:val="002947C8"/>
    <w:rsid w:val="002B1A3F"/>
    <w:rsid w:val="002C58D3"/>
    <w:rsid w:val="002D0ACD"/>
    <w:rsid w:val="002E0070"/>
    <w:rsid w:val="003046AB"/>
    <w:rsid w:val="00321E37"/>
    <w:rsid w:val="00326C83"/>
    <w:rsid w:val="0035048B"/>
    <w:rsid w:val="003A214E"/>
    <w:rsid w:val="003D0645"/>
    <w:rsid w:val="003E37BF"/>
    <w:rsid w:val="003F58EA"/>
    <w:rsid w:val="00403303"/>
    <w:rsid w:val="004336B9"/>
    <w:rsid w:val="00443C91"/>
    <w:rsid w:val="00445F0F"/>
    <w:rsid w:val="00482E79"/>
    <w:rsid w:val="00486F3D"/>
    <w:rsid w:val="004A2979"/>
    <w:rsid w:val="004E1BDF"/>
    <w:rsid w:val="0051603B"/>
    <w:rsid w:val="00554328"/>
    <w:rsid w:val="005B6B0F"/>
    <w:rsid w:val="005C7566"/>
    <w:rsid w:val="005E4638"/>
    <w:rsid w:val="005F57AE"/>
    <w:rsid w:val="005F652C"/>
    <w:rsid w:val="00610671"/>
    <w:rsid w:val="00641C5A"/>
    <w:rsid w:val="00664682"/>
    <w:rsid w:val="00692004"/>
    <w:rsid w:val="00694576"/>
    <w:rsid w:val="006B5B62"/>
    <w:rsid w:val="006E061C"/>
    <w:rsid w:val="006E1921"/>
    <w:rsid w:val="0071183C"/>
    <w:rsid w:val="0073321E"/>
    <w:rsid w:val="00774CCA"/>
    <w:rsid w:val="00842507"/>
    <w:rsid w:val="0088211F"/>
    <w:rsid w:val="00887DAA"/>
    <w:rsid w:val="00896573"/>
    <w:rsid w:val="008976F9"/>
    <w:rsid w:val="008C04AA"/>
    <w:rsid w:val="008D67D3"/>
    <w:rsid w:val="00905C83"/>
    <w:rsid w:val="00945BC8"/>
    <w:rsid w:val="00985388"/>
    <w:rsid w:val="0098707E"/>
    <w:rsid w:val="009900B8"/>
    <w:rsid w:val="00990634"/>
    <w:rsid w:val="00991A85"/>
    <w:rsid w:val="009B1C1E"/>
    <w:rsid w:val="00A156AE"/>
    <w:rsid w:val="00A3006C"/>
    <w:rsid w:val="00A347DB"/>
    <w:rsid w:val="00A36529"/>
    <w:rsid w:val="00A44BB9"/>
    <w:rsid w:val="00A8141E"/>
    <w:rsid w:val="00A85502"/>
    <w:rsid w:val="00A94A08"/>
    <w:rsid w:val="00AD3F57"/>
    <w:rsid w:val="00AE7866"/>
    <w:rsid w:val="00AF11EC"/>
    <w:rsid w:val="00AF2FA5"/>
    <w:rsid w:val="00AF3BC7"/>
    <w:rsid w:val="00B05DBB"/>
    <w:rsid w:val="00B177E0"/>
    <w:rsid w:val="00B271A9"/>
    <w:rsid w:val="00B4030D"/>
    <w:rsid w:val="00B90BC5"/>
    <w:rsid w:val="00BC6E78"/>
    <w:rsid w:val="00BE5A8E"/>
    <w:rsid w:val="00C140F4"/>
    <w:rsid w:val="00C37863"/>
    <w:rsid w:val="00C764D7"/>
    <w:rsid w:val="00C95E59"/>
    <w:rsid w:val="00CA165C"/>
    <w:rsid w:val="00CA16DB"/>
    <w:rsid w:val="00CB55D0"/>
    <w:rsid w:val="00CB5612"/>
    <w:rsid w:val="00CB65BB"/>
    <w:rsid w:val="00CD29E7"/>
    <w:rsid w:val="00CE38D4"/>
    <w:rsid w:val="00CF76C0"/>
    <w:rsid w:val="00D25E6F"/>
    <w:rsid w:val="00D25F40"/>
    <w:rsid w:val="00D5398B"/>
    <w:rsid w:val="00DC12DD"/>
    <w:rsid w:val="00DD43DA"/>
    <w:rsid w:val="00DE0F0E"/>
    <w:rsid w:val="00E016CC"/>
    <w:rsid w:val="00E024BD"/>
    <w:rsid w:val="00E13AF4"/>
    <w:rsid w:val="00E41DF2"/>
    <w:rsid w:val="00E60ABE"/>
    <w:rsid w:val="00E941F7"/>
    <w:rsid w:val="00EA3ECD"/>
    <w:rsid w:val="00EB0698"/>
    <w:rsid w:val="00EE7DC4"/>
    <w:rsid w:val="00EF5094"/>
    <w:rsid w:val="00F07B51"/>
    <w:rsid w:val="00F13312"/>
    <w:rsid w:val="00F42AC8"/>
    <w:rsid w:val="00F73C7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56EE1"/>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true" w:styleId="ZaglavljeChar" w:type="character">
    <w:name w:val="Zaglavlje Char"/>
    <w:basedOn w:val="Zadanifontodlomka"/>
    <w:link w:val="Zaglavlje"/>
    <w:rsid w:val="008C04AA"/>
    <w:rPr>
      <w:rFonts w:cs="Times New Roman" w:eastAsia="Times New Roman" w:hAnsi="Times New Roman" w:ascii="Times New Roman"/>
      <w:sz w:val="24"/>
      <w:szCs w:val="24"/>
      <w:lang w:eastAsia="hr-HR"/>
    </w:rPr>
  </w:style>
  <w:style w:styleId="Brojstranice" w:type="character">
    <w:name w:val="page number"/>
    <w:basedOn w:val="Zadanifontodlomka"/>
    <w:rsid w:val="008C04AA"/>
  </w:style>
  <w:style w:customStyle="true" w:styleId="f01" w:type="character">
    <w:name w:val="f01"/>
    <w:rsid w:val="008C04AA"/>
    <w:rPr>
      <w:rFonts w:cs="Times New Roman" w:hAnsi="Times New Roman" w:ascii="Times New Roman" w:hint="default"/>
      <w:color w:val="000000"/>
      <w:sz w:val="24"/>
      <w:szCs w:val="24"/>
    </w:rPr>
  </w:style>
  <w:style w:styleId="Tekstbalonia" w:type="paragraph">
    <w:name w:val="Balloon Text"/>
    <w:basedOn w:val="Normal"/>
    <w:link w:val="TekstbaloniaChar"/>
    <w:uiPriority w:val="99"/>
    <w:semiHidden/>
    <w:unhideWhenUsed/>
    <w:rsid w:val="008C04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C04AA"/>
    <w:rPr>
      <w:rFonts w:cs="Tahoma" w:eastAsia="Times New Roman" w:hAnsi="Tahoma" w:asci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true" w:styleId="PodnojeChar" w:type="character">
    <w:name w:val="Podnožje Char"/>
    <w:basedOn w:val="Zadanifontodlomka"/>
    <w:link w:val="Podnoje"/>
    <w:uiPriority w:val="99"/>
    <w:rsid w:val="008C04A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2E0070"/>
    <w:pPr>
      <w:ind w:left="720"/>
      <w:contextualSpacing/>
    </w:pPr>
  </w:style>
  <w:style w:styleId="Tekstrezerviranogmjesta" w:type="character">
    <w:name w:val="Placeholder Text"/>
    <w:basedOn w:val="Zadanifontodlomka"/>
    <w:uiPriority w:val="99"/>
    <w:semiHidden/>
    <w:rsid w:val="00610671"/>
    <w:rPr>
      <w:color w:val="808080"/>
      <w:bdr w:space="0" w:sz="0" w:color="auto" w:val="none"/>
      <w:shd w:fill="auto" w:color="auto" w:val="clear"/>
    </w:rPr>
  </w:style>
  <w:style w:customStyle="true" w:styleId="eSPISCCParagraphDefaultFont" w:type="character">
    <w:name w:val="eSPIS_CC_Paragraph Default Font"/>
    <w:basedOn w:val="Zadanifontodlomka"/>
    <w:rsid w:val="0061067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10671"/>
    <w:rPr>
      <w:b/>
      <w:bdr w:space="0" w:sz="0" w:color="auto" w:val="none"/>
      <w:shd w:fill="FFFFCC" w:color="auto" w:val="clear"/>
      <w:lang w:val="hr-HR"/>
    </w:rPr>
  </w:style>
  <w:style w:customStyle="true" w:styleId="PozadinaSvijetloCrvena" w:type="character">
    <w:name w:val="Pozadina_SvijetloCrvena"/>
    <w:basedOn w:val="eSPISCCParagraphDefaultFont"/>
    <w:rsid w:val="0061067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1067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56EE1"/>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1" w:styleId="ZaglavljeChar" w:type="character">
    <w:name w:val="Zaglavlje Char"/>
    <w:basedOn w:val="Zadanifontodlomka"/>
    <w:link w:val="Zaglavlje"/>
    <w:rsid w:val="008C04AA"/>
    <w:rPr>
      <w:rFonts w:ascii="Times New Roman" w:cs="Times New Roman" w:eastAsia="Times New Roman" w:hAnsi="Times New Roman"/>
      <w:sz w:val="24"/>
      <w:szCs w:val="24"/>
      <w:lang w:eastAsia="hr-HR"/>
    </w:rPr>
  </w:style>
  <w:style w:styleId="Brojstranice" w:type="character">
    <w:name w:val="page number"/>
    <w:basedOn w:val="Zadanifontodlomka"/>
    <w:rsid w:val="008C04AA"/>
  </w:style>
  <w:style w:customStyle="1" w:styleId="f01" w:type="character">
    <w:name w:val="f01"/>
    <w:rsid w:val="008C04AA"/>
    <w:rPr>
      <w:rFonts w:ascii="Times New Roman" w:cs="Times New Roman" w:hAnsi="Times New Roman" w:hint="default"/>
      <w:color w:val="000000"/>
      <w:sz w:val="24"/>
      <w:szCs w:val="24"/>
    </w:rPr>
  </w:style>
  <w:style w:styleId="Tekstbalonia" w:type="paragraph">
    <w:name w:val="Balloon Text"/>
    <w:basedOn w:val="Normal"/>
    <w:link w:val="TekstbaloniaChar"/>
    <w:uiPriority w:val="99"/>
    <w:semiHidden/>
    <w:unhideWhenUsed/>
    <w:rsid w:val="008C04AA"/>
    <w:rPr>
      <w:rFonts w:ascii="Tahoma" w:cs="Tahoma" w:hAnsi="Tahoma"/>
      <w:sz w:val="16"/>
      <w:szCs w:val="16"/>
    </w:rPr>
  </w:style>
  <w:style w:customStyle="1" w:styleId="TekstbaloniaChar" w:type="character">
    <w:name w:val="Tekst balončića Char"/>
    <w:basedOn w:val="Zadanifontodlomka"/>
    <w:link w:val="Tekstbalonia"/>
    <w:uiPriority w:val="99"/>
    <w:semiHidden/>
    <w:rsid w:val="008C04AA"/>
    <w:rPr>
      <w:rFonts w:ascii="Tahoma" w:cs="Tahoma" w:eastAsia="Times New Roman" w:hAns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1" w:styleId="PodnojeChar" w:type="character">
    <w:name w:val="Podnožje Char"/>
    <w:basedOn w:val="Zadanifontodlomka"/>
    <w:link w:val="Podnoje"/>
    <w:uiPriority w:val="99"/>
    <w:rsid w:val="008C04A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2E0070"/>
    <w:pPr>
      <w:ind w:left="720"/>
      <w:contextualSpacing/>
    </w:pPr>
  </w:style>
  <w:style w:styleId="Tekstrezerviranogmjesta" w:type="character">
    <w:name w:val="Placeholder Text"/>
    <w:basedOn w:val="Zadanifontodlomka"/>
    <w:uiPriority w:val="99"/>
    <w:semiHidden/>
    <w:rsid w:val="00610671"/>
    <w:rPr>
      <w:color w:val="808080"/>
      <w:bdr w:color="auto" w:space="0" w:sz="0" w:val="none"/>
      <w:shd w:color="auto" w:fill="auto" w:val="clear"/>
    </w:rPr>
  </w:style>
  <w:style w:customStyle="1" w:styleId="eSPISCCParagraphDefaultFont" w:type="character">
    <w:name w:val="eSPIS_CC_Paragraph Default Font"/>
    <w:basedOn w:val="Zadanifontodlomka"/>
    <w:rsid w:val="0061067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10671"/>
    <w:rPr>
      <w:b/>
      <w:bdr w:color="auto" w:space="0" w:sz="0" w:val="none"/>
      <w:shd w:color="auto" w:fill="FFFFCC" w:val="clear"/>
      <w:lang w:val="hr-HR"/>
    </w:rPr>
  </w:style>
  <w:style w:customStyle="1" w:styleId="PozadinaSvijetloCrvena" w:type="character">
    <w:name w:val="Pozadina_SvijetloCrvena"/>
    <w:basedOn w:val="eSPISCCParagraphDefaultFont"/>
    <w:rsid w:val="0061067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1067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40498681">
      <w:bodyDiv w:val="true"/>
      <w:marLeft w:val="0"/>
      <w:marRight w:val="0"/>
      <w:marTop w:val="0"/>
      <w:marBottom w:val="0"/>
      <w:divBdr>
        <w:top w:space="0" w:sz="0" w:color="auto" w:val="none"/>
        <w:left w:space="0" w:sz="0" w:color="auto" w:val="none"/>
        <w:bottom w:space="0" w:sz="0" w:color="auto" w:val="none"/>
        <w:right w:space="0" w:sz="0" w:color="auto" w:val="none"/>
      </w:divBdr>
      <w:divsChild>
        <w:div w:id="1790004091">
          <w:marLeft w:val="0"/>
          <w:marRight w:val="0"/>
          <w:marTop w:val="0"/>
          <w:marBottom w:val="0"/>
          <w:divBdr>
            <w:top w:space="0" w:sz="0" w:color="auto" w:val="none"/>
            <w:left w:space="0" w:sz="0" w:color="auto" w:val="none"/>
            <w:bottom w:space="0" w:sz="0" w:color="auto" w:val="none"/>
            <w:right w:space="0" w:sz="0" w:color="auto" w:val="none"/>
          </w:divBdr>
          <w:divsChild>
            <w:div w:id="2132624678">
              <w:marLeft w:val="0"/>
              <w:marRight w:val="0"/>
              <w:marTop w:val="0"/>
              <w:marBottom w:val="0"/>
              <w:divBdr>
                <w:top w:space="0" w:sz="6" w:color="DDDDDD" w:val="single"/>
                <w:left w:space="0" w:sz="6" w:color="DDDDDD" w:val="single"/>
                <w:bottom w:space="0" w:sz="6" w:color="DDDDDD" w:val="single"/>
                <w:right w:space="0" w:sz="6" w:color="DDDDDD" w:val="single"/>
              </w:divBdr>
              <w:divsChild>
                <w:div w:id="903761512">
                  <w:marLeft w:val="150"/>
                  <w:marRight w:val="150"/>
                  <w:marTop w:val="0"/>
                  <w:marBottom w:val="150"/>
                  <w:divBdr>
                    <w:top w:space="0" w:sz="0" w:color="auto" w:val="none"/>
                    <w:left w:space="0" w:sz="0" w:color="auto" w:val="none"/>
                    <w:bottom w:space="0" w:sz="0" w:color="auto" w:val="none"/>
                    <w:right w:space="0" w:sz="0" w:color="auto" w:val="none"/>
                  </w:divBdr>
                  <w:divsChild>
                    <w:div w:id="1143617241">
                      <w:marLeft w:val="0"/>
                      <w:marRight w:val="0"/>
                      <w:marTop w:val="0"/>
                      <w:marBottom w:val="0"/>
                      <w:divBdr>
                        <w:top w:space="0" w:sz="0" w:color="auto" w:val="none"/>
                        <w:left w:space="0" w:sz="0" w:color="auto" w:val="none"/>
                        <w:bottom w:space="0" w:sz="0" w:color="auto" w:val="none"/>
                        <w:right w:space="0" w:sz="0" w:color="auto" w:val="none"/>
                      </w:divBdr>
                      <w:divsChild>
                        <w:div w:id="434176682">
                          <w:marLeft w:val="0"/>
                          <w:marRight w:val="0"/>
                          <w:marTop w:val="0"/>
                          <w:marBottom w:val="0"/>
                          <w:divBdr>
                            <w:top w:space="0" w:sz="0" w:color="auto" w:val="none"/>
                            <w:left w:space="0" w:sz="0" w:color="auto" w:val="none"/>
                            <w:bottom w:space="0" w:sz="0" w:color="auto" w:val="none"/>
                            <w:right w:space="0" w:sz="0" w:color="auto" w:val="none"/>
                          </w:divBdr>
                          <w:divsChild>
                            <w:div w:id="2113697928">
                              <w:marLeft w:val="0"/>
                              <w:marRight w:val="0"/>
                              <w:marTop w:val="0"/>
                              <w:marBottom w:val="0"/>
                              <w:divBdr>
                                <w:top w:space="0" w:sz="0" w:color="auto" w:val="none"/>
                                <w:left w:space="0" w:sz="0" w:color="auto" w:val="none"/>
                                <w:bottom w:space="0" w:sz="0" w:color="auto" w:val="none"/>
                                <w:right w:space="0" w:sz="0" w:color="auto" w:val="none"/>
                              </w:divBdr>
                              <w:divsChild>
                                <w:div w:id="333580595">
                                  <w:marLeft w:val="0"/>
                                  <w:marRight w:val="0"/>
                                  <w:marTop w:val="0"/>
                                  <w:marBottom w:val="0"/>
                                  <w:divBdr>
                                    <w:top w:space="0" w:sz="0" w:color="auto" w:val="none"/>
                                    <w:left w:space="0" w:sz="0" w:color="auto" w:val="none"/>
                                    <w:bottom w:space="0" w:sz="0" w:color="auto" w:val="none"/>
                                    <w:right w:space="0" w:sz="0" w:color="auto" w:val="none"/>
                                  </w:divBdr>
                                  <w:divsChild>
                                    <w:div w:id="215822006">
                                      <w:marLeft w:val="0"/>
                                      <w:marRight w:val="0"/>
                                      <w:marTop w:val="0"/>
                                      <w:marBottom w:val="0"/>
                                      <w:divBdr>
                                        <w:top w:space="0" w:sz="0" w:color="auto" w:val="none"/>
                                        <w:left w:space="0" w:sz="0" w:color="auto" w:val="none"/>
                                        <w:bottom w:space="0" w:sz="0" w:color="auto" w:val="none"/>
                                        <w:right w:space="0" w:sz="0" w:color="auto" w:val="none"/>
                                      </w:divBdr>
                                      <w:divsChild>
                                        <w:div w:id="21163604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43262636">
      <w:bodyDiv w:val="true"/>
      <w:marLeft w:val="0"/>
      <w:marRight w:val="0"/>
      <w:marTop w:val="0"/>
      <w:marBottom w:val="0"/>
      <w:divBdr>
        <w:top w:space="0" w:sz="0" w:color="auto" w:val="none"/>
        <w:left w:space="0" w:sz="0" w:color="auto" w:val="none"/>
        <w:bottom w:space="0" w:sz="0" w:color="auto" w:val="none"/>
        <w:right w:space="0" w:sz="0" w:color="auto" w:val="none"/>
      </w:divBdr>
      <w:divsChild>
        <w:div w:id="987437140">
          <w:marLeft w:val="0"/>
          <w:marRight w:val="0"/>
          <w:marTop w:val="0"/>
          <w:marBottom w:val="0"/>
          <w:divBdr>
            <w:top w:space="0" w:sz="0" w:color="auto" w:val="none"/>
            <w:left w:space="0" w:sz="0" w:color="auto" w:val="none"/>
            <w:bottom w:space="0" w:sz="0" w:color="auto" w:val="none"/>
            <w:right w:space="0" w:sz="0" w:color="auto" w:val="none"/>
          </w:divBdr>
          <w:divsChild>
            <w:div w:id="1132553982">
              <w:marLeft w:val="0"/>
              <w:marRight w:val="0"/>
              <w:marTop w:val="0"/>
              <w:marBottom w:val="0"/>
              <w:divBdr>
                <w:top w:space="0" w:sz="6" w:color="DDDDDD" w:val="single"/>
                <w:left w:space="0" w:sz="6" w:color="DDDDDD" w:val="single"/>
                <w:bottom w:space="0" w:sz="6" w:color="DDDDDD" w:val="single"/>
                <w:right w:space="0" w:sz="6" w:color="DDDDDD" w:val="single"/>
              </w:divBdr>
              <w:divsChild>
                <w:div w:id="450587437">
                  <w:marLeft w:val="150"/>
                  <w:marRight w:val="150"/>
                  <w:marTop w:val="0"/>
                  <w:marBottom w:val="150"/>
                  <w:divBdr>
                    <w:top w:space="0" w:sz="0" w:color="auto" w:val="none"/>
                    <w:left w:space="0" w:sz="0" w:color="auto" w:val="none"/>
                    <w:bottom w:space="0" w:sz="0" w:color="auto" w:val="none"/>
                    <w:right w:space="0" w:sz="0" w:color="auto" w:val="none"/>
                  </w:divBdr>
                  <w:divsChild>
                    <w:div w:id="460418803">
                      <w:marLeft w:val="0"/>
                      <w:marRight w:val="0"/>
                      <w:marTop w:val="0"/>
                      <w:marBottom w:val="0"/>
                      <w:divBdr>
                        <w:top w:space="0" w:sz="0" w:color="auto" w:val="none"/>
                        <w:left w:space="0" w:sz="0" w:color="auto" w:val="none"/>
                        <w:bottom w:space="0" w:sz="0" w:color="auto" w:val="none"/>
                        <w:right w:space="0" w:sz="0" w:color="auto" w:val="none"/>
                      </w:divBdr>
                      <w:divsChild>
                        <w:div w:id="712466399">
                          <w:marLeft w:val="0"/>
                          <w:marRight w:val="0"/>
                          <w:marTop w:val="0"/>
                          <w:marBottom w:val="0"/>
                          <w:divBdr>
                            <w:top w:space="0" w:sz="0" w:color="auto" w:val="none"/>
                            <w:left w:space="0" w:sz="0" w:color="auto" w:val="none"/>
                            <w:bottom w:space="0" w:sz="0" w:color="auto" w:val="none"/>
                            <w:right w:space="0" w:sz="0" w:color="auto" w:val="none"/>
                          </w:divBdr>
                          <w:divsChild>
                            <w:div w:id="2033720450">
                              <w:marLeft w:val="0"/>
                              <w:marRight w:val="0"/>
                              <w:marTop w:val="0"/>
                              <w:marBottom w:val="0"/>
                              <w:divBdr>
                                <w:top w:space="0" w:sz="0" w:color="auto" w:val="none"/>
                                <w:left w:space="0" w:sz="0" w:color="auto" w:val="none"/>
                                <w:bottom w:space="0" w:sz="0" w:color="auto" w:val="none"/>
                                <w:right w:space="0" w:sz="0" w:color="auto" w:val="none"/>
                              </w:divBdr>
                              <w:divsChild>
                                <w:div w:id="94181734">
                                  <w:marLeft w:val="0"/>
                                  <w:marRight w:val="0"/>
                                  <w:marTop w:val="0"/>
                                  <w:marBottom w:val="0"/>
                                  <w:divBdr>
                                    <w:top w:space="0" w:sz="0" w:color="auto" w:val="none"/>
                                    <w:left w:space="0" w:sz="0" w:color="auto" w:val="none"/>
                                    <w:bottom w:space="0" w:sz="0" w:color="auto" w:val="none"/>
                                    <w:right w:space="0" w:sz="0" w:color="auto" w:val="none"/>
                                  </w:divBdr>
                                  <w:divsChild>
                                    <w:div w:id="867572007">
                                      <w:marLeft w:val="0"/>
                                      <w:marRight w:val="0"/>
                                      <w:marTop w:val="0"/>
                                      <w:marBottom w:val="0"/>
                                      <w:divBdr>
                                        <w:top w:space="0" w:sz="0" w:color="auto" w:val="none"/>
                                        <w:left w:space="0" w:sz="0" w:color="auto" w:val="none"/>
                                        <w:bottom w:space="0" w:sz="0" w:color="auto" w:val="none"/>
                                        <w:right w:space="0" w:sz="0" w:color="auto" w:val="none"/>
                                      </w:divBdr>
                                      <w:divsChild>
                                        <w:div w:id="126040393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58866395">
      <w:bodyDiv w:val="true"/>
      <w:marLeft w:val="0"/>
      <w:marRight w:val="0"/>
      <w:marTop w:val="0"/>
      <w:marBottom w:val="0"/>
      <w:divBdr>
        <w:top w:space="0" w:sz="0" w:color="auto" w:val="none"/>
        <w:left w:space="0" w:sz="0" w:color="auto" w:val="none"/>
        <w:bottom w:space="0" w:sz="0" w:color="auto" w:val="none"/>
        <w:right w:space="0" w:sz="0" w:color="auto" w:val="none"/>
      </w:divBdr>
      <w:divsChild>
        <w:div w:id="1166017719">
          <w:marLeft w:val="0"/>
          <w:marRight w:val="0"/>
          <w:marTop w:val="0"/>
          <w:marBottom w:val="0"/>
          <w:divBdr>
            <w:top w:space="0" w:sz="0" w:color="auto" w:val="none"/>
            <w:left w:space="0" w:sz="0" w:color="auto" w:val="none"/>
            <w:bottom w:space="0" w:sz="0" w:color="auto" w:val="none"/>
            <w:right w:space="0" w:sz="0" w:color="auto" w:val="none"/>
          </w:divBdr>
          <w:divsChild>
            <w:div w:id="1743604483">
              <w:marLeft w:val="0"/>
              <w:marRight w:val="0"/>
              <w:marTop w:val="0"/>
              <w:marBottom w:val="0"/>
              <w:divBdr>
                <w:top w:space="0" w:sz="6" w:color="DDDDDD" w:val="single"/>
                <w:left w:space="0" w:sz="6" w:color="DDDDDD" w:val="single"/>
                <w:bottom w:space="0" w:sz="6" w:color="DDDDDD" w:val="single"/>
                <w:right w:space="0" w:sz="6" w:color="DDDDDD" w:val="single"/>
              </w:divBdr>
              <w:divsChild>
                <w:div w:id="1364328687">
                  <w:marLeft w:val="150"/>
                  <w:marRight w:val="150"/>
                  <w:marTop w:val="0"/>
                  <w:marBottom w:val="150"/>
                  <w:divBdr>
                    <w:top w:space="0" w:sz="0" w:color="auto" w:val="none"/>
                    <w:left w:space="0" w:sz="0" w:color="auto" w:val="none"/>
                    <w:bottom w:space="0" w:sz="0" w:color="auto" w:val="none"/>
                    <w:right w:space="0" w:sz="0" w:color="auto" w:val="none"/>
                  </w:divBdr>
                  <w:divsChild>
                    <w:div w:id="108934740">
                      <w:marLeft w:val="0"/>
                      <w:marRight w:val="0"/>
                      <w:marTop w:val="0"/>
                      <w:marBottom w:val="0"/>
                      <w:divBdr>
                        <w:top w:space="0" w:sz="0" w:color="auto" w:val="none"/>
                        <w:left w:space="0" w:sz="0" w:color="auto" w:val="none"/>
                        <w:bottom w:space="0" w:sz="0" w:color="auto" w:val="none"/>
                        <w:right w:space="0" w:sz="0" w:color="auto" w:val="none"/>
                      </w:divBdr>
                      <w:divsChild>
                        <w:div w:id="108092299">
                          <w:marLeft w:val="0"/>
                          <w:marRight w:val="0"/>
                          <w:marTop w:val="0"/>
                          <w:marBottom w:val="0"/>
                          <w:divBdr>
                            <w:top w:space="0" w:sz="0" w:color="auto" w:val="none"/>
                            <w:left w:space="0" w:sz="0" w:color="auto" w:val="none"/>
                            <w:bottom w:space="0" w:sz="0" w:color="auto" w:val="none"/>
                            <w:right w:space="0" w:sz="0" w:color="auto" w:val="none"/>
                          </w:divBdr>
                          <w:divsChild>
                            <w:div w:id="837765539">
                              <w:marLeft w:val="0"/>
                              <w:marRight w:val="0"/>
                              <w:marTop w:val="0"/>
                              <w:marBottom w:val="0"/>
                              <w:divBdr>
                                <w:top w:space="0" w:sz="0" w:color="auto" w:val="none"/>
                                <w:left w:space="0" w:sz="0" w:color="auto" w:val="none"/>
                                <w:bottom w:space="0" w:sz="0" w:color="auto" w:val="none"/>
                                <w:right w:space="0" w:sz="0" w:color="auto" w:val="none"/>
                              </w:divBdr>
                              <w:divsChild>
                                <w:div w:id="1416855439">
                                  <w:marLeft w:val="0"/>
                                  <w:marRight w:val="0"/>
                                  <w:marTop w:val="0"/>
                                  <w:marBottom w:val="0"/>
                                  <w:divBdr>
                                    <w:top w:space="0" w:sz="0" w:color="auto" w:val="none"/>
                                    <w:left w:space="0" w:sz="0" w:color="auto" w:val="none"/>
                                    <w:bottom w:space="0" w:sz="0" w:color="auto" w:val="none"/>
                                    <w:right w:space="0" w:sz="0" w:color="auto" w:val="none"/>
                                  </w:divBdr>
                                  <w:divsChild>
                                    <w:div w:id="500892898">
                                      <w:marLeft w:val="0"/>
                                      <w:marRight w:val="0"/>
                                      <w:marTop w:val="0"/>
                                      <w:marBottom w:val="0"/>
                                      <w:divBdr>
                                        <w:top w:space="0" w:sz="0" w:color="auto" w:val="none"/>
                                        <w:left w:space="0" w:sz="0" w:color="auto" w:val="none"/>
                                        <w:bottom w:space="0" w:sz="0" w:color="auto" w:val="none"/>
                                        <w:right w:space="0" w:sz="0" w:color="auto" w:val="none"/>
                                      </w:divBdr>
                                      <w:divsChild>
                                        <w:div w:id="9564453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listopada 2016.</izvorni_sadrzaj>
    <derivirana_varijabla naziv="DomainObject.DatumDonosenjaOdluke_1">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534</izvorni_sadrzaj>
    <derivirana_varijabla naziv="DomainObject.Predmet.Broj_1">534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spisu prileže 2 registratora 
(prijave tražbina)</izvorni_sadrzaj>
    <derivirana_varijabla naziv="DomainObject.Predmet.Opis_1">spisu prileže 2 registratora 
(prijave tražbina)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St-534/2016</izvorni_sadrzaj>
    <derivirana_varijabla naziv="DomainObject.Predmet.OznakaBroj_1">St-534/2016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INTEC d.o.o. PULA</izvorni_sadrzaj>
    <derivirana_varijabla naziv="DomainObject.Predmet.ProtustrankaFormated_1">  INTEC d.o.o. PULA</derivirana_varijabla>
  </DomainObject.Predmet.ProtustrankaFormated>
  <DomainObject.Predmet.ProtustrankaFormatedOIB>
    <izvorni_sadrzaj>  INTEC d.o.o. PULA, OIB 98649267172</izvorni_sadrzaj>
    <derivirana_varijabla naziv="DomainObject.Predmet.ProtustrankaFormatedOIB_1">  INTEC d.o.o. PULA, OIB 98649267172</derivirana_varijabla>
  </DomainObject.Predmet.ProtustrankaFormatedOIB>
  <DomainObject.Predmet.ProtustrankaFormatedWithAdress>
    <izvorni_sadrzaj> INTEC d.o.o. PULA, Radićeva 40, 52 100 Pula</izvorni_sadrzaj>
    <derivirana_varijabla naziv="DomainObject.Predmet.ProtustrankaFormatedWithAdress_1"> INTEC d.o.o. PULA, Radićeva 40, 52 100 Pula</derivirana_varijabla>
  </DomainObject.Predmet.ProtustrankaFormatedWithAdress>
  <DomainObject.Predmet.ProtustrankaFormatedWithAdressOIB>
    <izvorni_sadrzaj> INTEC d.o.o. PULA, OIB 98649267172, Radićeva 40, 52 100 Pula</izvorni_sadrzaj>
    <derivirana_varijabla naziv="DomainObject.Predmet.ProtustrankaFormatedWithAdressOIB_1"> INTEC d.o.o. PULA, OIB 98649267172, Radićeva 40, 52 100 Pula</derivirana_varijabla>
  </DomainObject.Predmet.ProtustrankaFormatedWithAdressOIB>
  <DomainObject.Predmet.ProtustrankaWithAdress>
    <izvorni_sadrzaj>INTEC d.o.o. PULA Radićeva 40, 52 100 Pula</izvorni_sadrzaj>
    <derivirana_varijabla naziv="DomainObject.Predmet.ProtustrankaWithAdress_1">INTEC d.o.o. PULA Radićeva 40, 52 100 Pula</derivirana_varijabla>
  </DomainObject.Predmet.ProtustrankaWithAdress>
  <DomainObject.Predmet.ProtustrankaWithAdressOIB>
    <izvorni_sadrzaj>INTEC d.o.o. PULA, OIB 98649267172, Radićeva 40, 52 100 Pula</izvorni_sadrzaj>
    <derivirana_varijabla naziv="DomainObject.Predmet.ProtustrankaWithAdressOIB_1">INTEC d.o.o. PULA, OIB 98649267172, Radićeva 40, 52 100 Pula</derivirana_varijabla>
  </DomainObject.Predmet.ProtustrankaWithAdressOIB>
  <DomainObject.Predmet.ProtustrankaNazivFormated>
    <izvorni_sadrzaj>INTEC d.o.o. PULA</izvorni_sadrzaj>
    <derivirana_varijabla naziv="DomainObject.Predmet.ProtustrankaNazivFormated_1">INTEC d.o.o. PULA</derivirana_varijabla>
  </DomainObject.Predmet.ProtustrankaNazivFormated>
  <DomainObject.Predmet.ProtustrankaNazivFormatedOIB>
    <izvorni_sadrzaj>INTEC d.o.o. PULA, OIB 98649267172</izvorni_sadrzaj>
    <derivirana_varijabla naziv="DomainObject.Predmet.ProtustrankaNazivFormatedOIB_1">INTEC d.o.o. PULA, OIB 98649267172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RIJEKA, Nagodbeno vijeće Pula</izvorni_sadrzaj>
    <derivirana_varijabla naziv="DomainObject.Predmet.StrankaFormated_1">  FINA, REGIONALNI CENTAR RIJEKA, Nagodbeno vijeće Pula</derivirana_varijabla>
  </DomainObject.Predmet.StrankaFormated>
  <DomainObject.Predmet.StrankaFormatedOIB>
    <izvorni_sadrzaj>  FINA, REGIONALNI CENTAR RIJEKA, Nagodbeno vijeće Pula, OIB 85821130368</izvorni_sadrzaj>
    <derivirana_varijabla naziv="DomainObject.Predmet.StrankaFormatedOIB_1">  FINA, REGIONALNI CENTAR RIJEKA, Nagodbeno vijeće Pula, OIB 85821130368</derivirana_varijabla>
  </DomainObject.Predmet.StrankaFormatedOIB>
  <DomainObject.Predmet.StrankaFormatedWithAdress>
    <izvorni_sadrzaj> FINA, REGIONALNI CENTAR RIJEKA, Nagodbeno vijeće Pula, Giardini 5, 52 100 Pula</izvorni_sadrzaj>
    <derivirana_varijabla naziv="DomainObject.Predmet.StrankaFormatedWithAdress_1"> FINA, REGIONALNI CENTAR RIJEKA, Nagodbeno vijeće Pula, Giardini 5, 52 100 Pula</derivirana_varijabla>
  </DomainObject.Predmet.StrankaFormatedWithAdress>
  <DomainObject.Predmet.StrankaFormatedWithAdressOIB>
    <izvorni_sadrzaj> FINA, REGIONALNI CENTAR RIJEKA, Nagodbeno vijeće Pula, OIB 85821130368, Giardini 5, 52 100 Pula</izvorni_sadrzaj>
    <derivirana_varijabla naziv="DomainObject.Predmet.StrankaFormatedWithAdressOIB_1"> FINA, REGIONALNI CENTAR RIJEKA, Nagodbeno vijeće Pula, OIB 85821130368, Giardini 5, 52 100 Pula</derivirana_varijabla>
  </DomainObject.Predmet.StrankaFormatedWithAdressOIB>
  <DomainObject.Predmet.StrankaWithAdress>
    <izvorni_sadrzaj>FINA, REGIONALNI CENTAR RIJEKA, Nagodbeno vijeće Pula Giardini 5,52 100 Pula</izvorni_sadrzaj>
    <derivirana_varijabla naziv="DomainObject.Predmet.StrankaWithAdress_1">FINA, REGIONALNI CENTAR RIJEKA, Nagodbeno vijeće Pula Giardini 5,52 100 Pula</derivirana_varijabla>
  </DomainObject.Predmet.StrankaWithAdress>
  <DomainObject.Predmet.StrankaWithAdressOIB>
    <izvorni_sadrzaj>FINA, REGIONALNI CENTAR RIJEKA, Nagodbeno vijeće Pula, OIB 85821130368, Giardini 5,52 100 Pula</izvorni_sadrzaj>
    <derivirana_varijabla naziv="DomainObject.Predmet.StrankaWithAdressOIB_1">FINA, REGIONALNI CENTAR RIJEKA, Nagodbeno vijeće Pula, OIB 85821130368, Giardini 5,52 100 Pula</derivirana_varijabla>
  </DomainObject.Predmet.StrankaWithAdressOIB>
  <DomainObject.Predmet.StrankaNazivFormated>
    <izvorni_sadrzaj>FINA, REGIONALNI CENTAR RIJEKA, Nagodbeno vijeće Pula</izvorni_sadrzaj>
    <derivirana_varijabla naziv="DomainObject.Predmet.StrankaNazivFormated_1">FINA, REGIONALNI CENTAR RIJEKA, Nagodbeno vijeće Pula</derivirana_varijabla>
  </DomainObject.Predmet.StrankaNazivFormated>
  <DomainObject.Predmet.StrankaNazivFormatedOIB>
    <izvorni_sadrzaj>FINA, REGIONALNI CENTAR RIJEKA, Nagodbeno vijeće Pula, OIB 85821130368</izvorni_sadrzaj>
    <derivirana_varijabla naziv="DomainObject.Predmet.StrankaNazivFormatedOIB_1">FINA, REGIONALNI CENTAR RIJEKA, Nagodbeno vijeće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 REGIONALNI CENTAR RIJEKA, Nagodbeno vijeće Pula</item>
    </izvorni_sadrzaj>
    <derivirana_varijabla naziv="DomainObject.Predmet.StrankaListFormated_1">
      <item>FINA, REGIONALNI CENTAR RIJEKA, Nagodbeno vijeće Pula</item>
    </derivirana_varijabla>
  </DomainObject.Predmet.StrankaListFormated>
  <DomainObject.Predmet.StrankaListFormatedOIB>
    <izvorni_sadrzaj>
      <item>FINA, REGIONALNI CENTAR RIJEKA, Nagodbeno vijeće Pula, OIB 85821130368</item>
    </izvorni_sadrzaj>
    <derivirana_varijabla naziv="DomainObject.Predmet.StrankaListFormatedOIB_1">
      <item>FINA, REGIONALNI CENTAR RIJEKA, Nagodbeno vijeće Pula, OIB 85821130368</item>
    </derivirana_varijabla>
  </DomainObject.Predmet.StrankaListFormatedOIB>
  <DomainObject.Predmet.StrankaListFormatedWithAdress>
    <izvorni_sadrzaj>
      <item>FINA, REGIONALNI CENTAR RIJEKA, Nagodbeno vijeće Pula, Giardini 5, 52 100 Pula</item>
    </izvorni_sadrzaj>
    <derivirana_varijabla naziv="DomainObject.Predmet.StrankaListFormatedWithAdress_1">
      <item>FINA, REGIONALNI CENTAR RIJEKA, Nagodbeno vijeće Pula, Giardini 5, 52 100 Pula</item>
    </derivirana_varijabla>
  </DomainObject.Predmet.StrankaListFormatedWithAdress>
  <DomainObject.Predmet.StrankaListFormatedWithAdressOIB>
    <izvorni_sadrzaj>
      <item>FINA, REGIONALNI CENTAR RIJEKA, Nagodbeno vijeće Pula, OIB 85821130368, Giardini 5, 52 100 Pula</item>
    </izvorni_sadrzaj>
    <derivirana_varijabla naziv="DomainObject.Predmet.StrankaListFormatedWithAdressOIB_1">
      <item>FINA, REGIONALNI CENTAR RIJEKA, Nagodbeno vijeće Pula, OIB 85821130368, Giardini 5, 52 100 Pula</item>
    </derivirana_varijabla>
  </DomainObject.Predmet.StrankaListFormatedWithAdressOIB>
  <DomainObject.Predmet.StrankaListNazivFormated>
    <izvorni_sadrzaj>
      <item>FINA, REGIONALNI CENTAR RIJEKA, Nagodbeno vijeće Pula</item>
    </izvorni_sadrzaj>
    <derivirana_varijabla naziv="DomainObject.Predmet.StrankaListNazivFormated_1">
      <item>FINA, REGIONALNI CENTAR RIJEKA, Nagodbeno vijeće Pula</item>
    </derivirana_varijabla>
  </DomainObject.Predmet.StrankaListNazivFormated>
  <DomainObject.Predmet.StrankaListNazivFormatedOIB>
    <izvorni_sadrzaj>
      <item>FINA, REGIONALNI CENTAR RIJEKA, Nagodbeno vijeće Pula, OIB 85821130368</item>
    </izvorni_sadrzaj>
    <derivirana_varijabla naziv="DomainObject.Predmet.StrankaListNazivFormatedOIB_1">
      <item>FINA, REGIONALNI CENTAR RIJEKA, Nagodbeno vijeće Pula, OIB 85821130368</item>
    </derivirana_varijabla>
  </DomainObject.Predmet.StrankaListNazivFormatedOIB>
  <DomainObject.Predmet.ProtuStrankaListFormated>
    <izvorni_sadrzaj>
      <item>INTEC d.o.o. PULA</item>
    </izvorni_sadrzaj>
    <derivirana_varijabla naziv="DomainObject.Predmet.ProtuStrankaListFormated_1">
      <item>INTEC d.o.o. PULA</item>
    </derivirana_varijabla>
  </DomainObject.Predmet.ProtuStrankaListFormated>
  <DomainObject.Predmet.ProtuStrankaListFormatedOIB>
    <izvorni_sadrzaj>
      <item>INTEC d.o.o. PULA, OIB 98649267172</item>
    </izvorni_sadrzaj>
    <derivirana_varijabla naziv="DomainObject.Predmet.ProtuStrankaListFormatedOIB_1">
      <item>INTEC d.o.o. PULA, OIB 98649267172</item>
    </derivirana_varijabla>
  </DomainObject.Predmet.ProtuStrankaListFormatedOIB>
  <DomainObject.Predmet.ProtuStrankaListFormatedWithAdress>
    <izvorni_sadrzaj>
      <item>INTEC d.o.o. PULA, Radićeva 40, 52 100 Pula</item>
    </izvorni_sadrzaj>
    <derivirana_varijabla naziv="DomainObject.Predmet.ProtuStrankaListFormatedWithAdress_1">
      <item>INTEC d.o.o. PULA, Radićeva 40, 52 100 Pula</item>
    </derivirana_varijabla>
  </DomainObject.Predmet.ProtuStrankaListFormatedWithAdress>
  <DomainObject.Predmet.ProtuStrankaListFormatedWithAdressOIB>
    <izvorni_sadrzaj>
      <item>INTEC d.o.o. PULA, OIB 98649267172, Radićeva 40, 52 100 Pula</item>
    </izvorni_sadrzaj>
    <derivirana_varijabla naziv="DomainObject.Predmet.ProtuStrankaListFormatedWithAdressOIB_1">
      <item>INTEC d.o.o. PULA, OIB 98649267172, Radićeva 40, 52 100 Pula</item>
    </derivirana_varijabla>
  </DomainObject.Predmet.ProtuStrankaListFormatedWithAdressOIB>
  <DomainObject.Predmet.ProtuStrankaListNazivFormated>
    <izvorni_sadrzaj>
      <item>INTEC d.o.o. PULA</item>
    </izvorni_sadrzaj>
    <derivirana_varijabla naziv="DomainObject.Predmet.ProtuStrankaListNazivFormated_1">
      <item>INTEC d.o.o. PULA</item>
    </derivirana_varijabla>
  </DomainObject.Predmet.ProtuStrankaListNazivFormated>
  <DomainObject.Predmet.ProtuStrankaListNazivFormatedOIB>
    <izvorni_sadrzaj>
      <item>INTEC d.o.o. PULA, OIB 98649267172</item>
    </izvorni_sadrzaj>
    <derivirana_varijabla naziv="DomainObject.Predmet.ProtuStrankaListNazivFormatedOIB_1">
      <item>INTEC d.o.o. PULA, OIB 98649267172</item>
    </derivirana_varijabla>
  </DomainObject.Predmet.ProtuStrankaListNazivFormatedOIB>
  <DomainObject.Predmet.OstaliListFormated>
    <izvorni_sadrzaj>
      <item>Odvjetničko društvo GOLUB I PARTNERI d.o.o. Zagreb</item>
    </izvorni_sadrzaj>
    <derivirana_varijabla naziv="DomainObject.Predmet.OstaliListFormated_1">
      <item>Odvjetničko društvo GOLUB I PARTNERI d.o.o. Zagreb</item>
    </derivirana_varijabla>
  </DomainObject.Predmet.OstaliListFormated>
  <DomainObject.Predmet.OstaliListFormatedOIB>
    <izvorni_sadrzaj>
      <item>Odvjetničko društvo GOLUB I PARTNERI d.o.o. Zagreb, OIB 36714247867</item>
    </izvorni_sadrzaj>
    <derivirana_varijabla naziv="DomainObject.Predmet.OstaliListFormatedOIB_1">
      <item>Odvjetničko društvo GOLUB I PARTNERI d.o.o. Zagreb, OIB 36714247867</item>
    </derivirana_varijabla>
  </DomainObject.Predmet.OstaliListFormatedOIB>
  <DomainObject.Predmet.OstaliListFormatedWithAdress>
    <izvorni_sadrzaj>
      <item>Odvjetničko društvo GOLUB I PARTNERI d.o.o. Zagreb, Ljudevita Gaja 2/a, 10000 Zagreb</item>
    </izvorni_sadrzaj>
    <derivirana_varijabla naziv="DomainObject.Predmet.OstaliListFormatedWithAdress_1">
      <item>Odvjetničko društvo GOLUB I PARTNERI d.o.o. Zagreb, Ljudevita Gaja 2/a, 10000 Zagreb</item>
    </derivirana_varijabla>
  </DomainObject.Predmet.OstaliListFormatedWithAdress>
  <DomainObject.Predmet.OstaliListFormatedWithAdressOIB>
    <izvorni_sadrzaj>
      <item>Odvjetničko društvo GOLUB I PARTNERI d.o.o. Zagreb, OIB 36714247867, Ljudevita Gaja 2/a, 10000 Zagreb</item>
    </izvorni_sadrzaj>
    <derivirana_varijabla naziv="DomainObject.Predmet.OstaliListFormatedWithAdressOIB_1">
      <item>Odvjetničko društvo GOLUB I PARTNERI d.o.o. Zagreb, OIB 36714247867, Ljudevita Gaja 2/a, 10000 Zagreb</item>
    </derivirana_varijabla>
  </DomainObject.Predmet.OstaliListFormatedWithAdressOIB>
  <DomainObject.Predmet.OstaliListNazivFormated>
    <izvorni_sadrzaj>
      <item>Odvjetničko društvo GOLUB I PARTNERI d.o.o. Zagreb</item>
    </izvorni_sadrzaj>
    <derivirana_varijabla naziv="DomainObject.Predmet.OstaliListNazivFormated_1">
      <item>Odvjetničko društvo GOLUB I PARTNERI d.o.o. Zagreb</item>
    </derivirana_varijabla>
  </DomainObject.Predmet.OstaliListNazivFormated>
  <DomainObject.Predmet.OstaliListNazivFormatedOIB>
    <izvorni_sadrzaj>
      <item>Odvjetničko društvo GOLUB I PARTNERI d.o.o. Zagreb, OIB 36714247867</item>
    </izvorni_sadrzaj>
    <derivirana_varijabla naziv="DomainObject.Predmet.OstaliListNazivFormatedOIB_1">
      <item>Odvjetničko društvo GOLUB I PARTNERI d.o.o. Zagreb, OIB 36714247867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2016.</izvorni_sadrzaj>
    <derivirana_varijabla naziv="DomainObject.Datum_1">17. listopada 2016.</derivirana_varijabla>
  </DomainObject.Datum>
  <DomainObject.PoslovniBrojDokumenta>
    <izvorni_sadrzaj/>
    <derivirana_varijabla naziv="DomainObject.PoslovniBrojDokumenta_1"/>
  </DomainObject.PoslovniBrojDokumenta>
  <DomainObject.Predmet.StrankaIDrugi>
    <izvorni_sadrzaj>FINA, REGIONALNI CENTAR RIJEKA, Nagodbeno vijeće Pula</izvorni_sadrzaj>
    <derivirana_varijabla naziv="DomainObject.Predmet.StrankaIDrugi_1">FINA, REGIONALNI CENTAR RIJEKA, Nagodbeno vijeće Pula</derivirana_varijabla>
  </DomainObject.Predmet.StrankaIDrugi>
  <DomainObject.Predmet.ProtustrankaIDrugi>
    <izvorni_sadrzaj>INTEC d.o.o. PULA</izvorni_sadrzaj>
    <derivirana_varijabla naziv="DomainObject.Predmet.ProtustrankaIDrugi_1">INTEC d.o.o. PULA</derivirana_varijabla>
  </DomainObject.Predmet.ProtustrankaIDrugi>
  <DomainObject.Predmet.StrankaIDrugiAdressOIB>
    <izvorni_sadrzaj>FINA, REGIONALNI CENTAR RIJEKA, Nagodbeno vijeće Pula, OIB 85821130368, Giardini 5, 52 100 Pula</izvorni_sadrzaj>
    <derivirana_varijabla naziv="DomainObject.Predmet.StrankaIDrugiAdressOIB_1">FINA, REGIONALNI CENTAR RIJEKA, Nagodbeno vijeće Pula, OIB 85821130368, Giardini 5, 52 100 Pula</derivirana_varijabla>
  </DomainObject.Predmet.StrankaIDrugiAdressOIB>
  <DomainObject.Predmet.ProtustrankaIDrugiAdressOIB>
    <izvorni_sadrzaj>INTEC d.o.o. PULA, OIB 98649267172, Radićeva 40, 52 100 Pula</izvorni_sadrzaj>
    <derivirana_varijabla naziv="DomainObject.Predmet.ProtustrankaIDrugiAdressOIB_1">INTEC d.o.o. PULA, OIB 98649267172, Radićeva 40,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INTEC d.o.o. PULA</item>
      <item>FINA, REGIONALNI CENTAR RIJEKA, Nagodbeno vijeće Pula</item>
      <item>Odvjetničko društvo GOLUB I PARTNERI d.o.o. Zagreb</item>
    </izvorni_sadrzaj>
    <derivirana_varijabla naziv="DomainObject.Predmet.SudioniciListNaziv_1">
      <item>INTEC d.o.o. PULA</item>
      <item>FINA, REGIONALNI CENTAR RIJEKA, Nagodbeno vijeće Pula</item>
      <item>Odvjetničko društvo GOLUB I PARTNERI d.o.o. Zagreb</item>
    </derivirana_varijabla>
  </DomainObject.Predmet.SudioniciListNaziv>
  <DomainObject.Predmet.SudioniciListAdressOIB>
    <izvorni_sadrzaj>
      <item>INTEC d.o.o. PULA, OIB 98649267172, Radićeva 40,52 100 Pula</item>
      <item>FINA, REGIONALNI CENTAR RIJEKA, Nagodbeno vijeće Pula, OIB 85821130368, Giardini 5,52 100 Pula</item>
      <item>Odvjetničko društvo GOLUB I PARTNERI d.o.o. Zagreb, OIB 36714247867, Ljudevita Gaja 2/a,10000 Zagreb</item>
    </izvorni_sadrzaj>
    <derivirana_varijabla naziv="DomainObject.Predmet.SudioniciListAdressOIB_1">
      <item>INTEC d.o.o. PULA, OIB 98649267172, Radićeva 40,52 100 Pula</item>
      <item>FINA, REGIONALNI CENTAR RIJEKA, Nagodbeno vijeće Pula, OIB 85821130368, Giardini 5,52 100 Pula</item>
      <item>Odvjetničko društvo GOLUB I PARTNERI d.o.o. Zagreb, OIB 36714247867, Ljudevita Gaja 2/a,10000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98649267172</item>
      <item>, OIB 85821130368</item>
      <item>, OIB 36714247867</item>
    </izvorni_sadrzaj>
    <derivirana_varijabla naziv="DomainObject.Predmet.SudioniciListNazivOIB_1">
      <item>, OIB 98649267172</item>
      <item>, OIB 85821130368</item>
      <item>, OIB 36714247867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Bogdan Veselinović, OIB 56077684422, Marijana Stepčića 34 Rijeka</item>
    </izvorni_sadrzaj>
    <derivirana_varijabla naziv="DomainObject.Predmet.StecajniUpraviteljiListAddressOIB_1">
      <item>Bogdan Veselinović, OIB 56077684422, Marijana Stepčića 34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2527</properties:Words>
  <properties:Characters>13966</properties:Characters>
  <properties:Lines>251</properties:Lines>
  <properties:Paragraphs>59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16746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2016-10-17T05:43:00Z</dcterms:created>
  <dc:creator>Jasmina Matika</dc:creator>
  <cp:lastModifiedBy>Sanja Lakošeljac</cp:lastModifiedBy>
  <cp:lastPrinted>2016-10-10T11:27:00Z</cp:lastPrinted>
  <dcterms:modified xmlns:xsi="http://www.w3.org/2001/XMLSchema-instance" xsi:type="dcterms:W3CDTF">2016-10-17T05:45:00Z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6</vt:i4>
  </prop:property>
</prop:Properties>
</file>