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d0f6e1b" w14:paraId="d0f6e1b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St-871/12</w:t>
      </w:r>
      <w:r w:rsidR="003E28A7">
        <w:rPr>
          <w:rFonts w:cs="Times New Roman" w:hAnsi="Times New Roman" w:ascii="Times New Roman"/>
          <w:sz w:val="24"/>
          <w:szCs w:val="24"/>
        </w:rPr>
        <w:t>-73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 w:rsidR="00593095"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 w:rsidR="00A73429"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 xml:space="preserve">15996184185, </w:t>
      </w:r>
      <w:r w:rsidR="00631D5F">
        <w:rPr>
          <w:rFonts w:cs="Times New Roman" w:hAnsi="Times New Roman" w:ascii="Times New Roman"/>
          <w:sz w:val="24"/>
          <w:szCs w:val="24"/>
        </w:rPr>
        <w:t>1</w:t>
      </w:r>
      <w:r w:rsidR="00C7499C">
        <w:rPr>
          <w:rFonts w:cs="Times New Roman" w:hAnsi="Times New Roman" w:ascii="Times New Roman"/>
          <w:sz w:val="24"/>
          <w:szCs w:val="24"/>
        </w:rPr>
        <w:t>9</w:t>
      </w:r>
      <w:r w:rsidR="00631D5F">
        <w:rPr>
          <w:rFonts w:cs="Times New Roman" w:hAnsi="Times New Roman" w:ascii="Times New Roman"/>
          <w:sz w:val="24"/>
          <w:szCs w:val="24"/>
        </w:rPr>
        <w:t xml:space="preserve">. </w:t>
      </w:r>
      <w:r w:rsidR="00C7499C">
        <w:rPr>
          <w:rFonts w:cs="Times New Roman" w:hAnsi="Times New Roman" w:ascii="Times New Roman"/>
          <w:sz w:val="24"/>
          <w:szCs w:val="24"/>
        </w:rPr>
        <w:t>rujna</w:t>
      </w:r>
      <w:r w:rsidR="00631D5F">
        <w:rPr>
          <w:rFonts w:cs="Times New Roman" w:hAnsi="Times New Roman" w:ascii="Times New Roman"/>
          <w:sz w:val="24"/>
          <w:szCs w:val="24"/>
        </w:rPr>
        <w:t xml:space="preserve"> 201</w:t>
      </w:r>
      <w:r w:rsidR="00C7499C">
        <w:rPr>
          <w:rFonts w:cs="Times New Roman" w:hAnsi="Times New Roman" w:ascii="Times New Roman"/>
          <w:sz w:val="24"/>
          <w:szCs w:val="24"/>
        </w:rPr>
        <w:t>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</w:t>
      </w:r>
      <w:r w:rsidRPr="00593095">
        <w:rPr>
          <w:rFonts w:cs="Times New Roman" w:hAnsi="Times New Roman" w:ascii="Times New Roman"/>
          <w:sz w:val="24"/>
          <w:szCs w:val="24"/>
        </w:rPr>
        <w:t>tečajn</w:t>
      </w:r>
      <w:r w:rsidR="00C7499C">
        <w:rPr>
          <w:rFonts w:cs="Times New Roman" w:hAnsi="Times New Roman" w:ascii="Times New Roman"/>
          <w:sz w:val="24"/>
          <w:szCs w:val="24"/>
        </w:rPr>
        <w:t>om</w:t>
      </w:r>
      <w:r w:rsidRPr="0059309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7499C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Božidar</w:t>
      </w:r>
      <w:r w:rsidR="00C7499C">
        <w:rPr>
          <w:rFonts w:cs="Times New Roman" w:hAnsi="Times New Roman" w:ascii="Times New Roman"/>
          <w:sz w:val="24"/>
          <w:szCs w:val="24"/>
        </w:rPr>
        <w:t>u</w:t>
      </w:r>
      <w:r w:rsidRPr="00593095">
        <w:rPr>
          <w:rFonts w:cs="Times New Roman" w:hAnsi="Times New Roman" w:ascii="Times New Roman"/>
          <w:sz w:val="24"/>
          <w:szCs w:val="24"/>
        </w:rPr>
        <w:t xml:space="preserve"> Brkljač, dipl.oecc. iz Zagreba, Šime Devčića 3, OIB: 58227850404</w:t>
      </w:r>
      <w:r w:rsidR="00C7499C">
        <w:rPr>
          <w:rFonts w:cs="Times New Roman" w:hAnsi="Times New Roman" w:ascii="Times New Roman"/>
          <w:sz w:val="24"/>
          <w:szCs w:val="24"/>
        </w:rPr>
        <w:t xml:space="preserve">, određuje se nagrada u iznosu od </w:t>
      </w:r>
      <w:r w:rsidR="00DE6A41">
        <w:rPr>
          <w:rFonts w:cs="Times New Roman" w:hAnsi="Times New Roman" w:ascii="Times New Roman"/>
          <w:sz w:val="24"/>
          <w:szCs w:val="24"/>
        </w:rPr>
        <w:t>399.999,98</w:t>
      </w:r>
      <w:r w:rsidR="00C7499C">
        <w:rPr>
          <w:rFonts w:cs="Times New Roman" w:hAnsi="Times New Roman" w:ascii="Times New Roman"/>
          <w:sz w:val="24"/>
          <w:szCs w:val="24"/>
        </w:rPr>
        <w:t xml:space="preserve"> kuna bruto. </w:t>
      </w:r>
    </w:p>
    <w:p w:rsidRDefault="00E8658C" w:rsidP="00A91578" w:rsidR="00E865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DA0460" w:rsidR="00DC1C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C7499C" w:rsidP="00DA0460" w:rsidR="00C749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97D8D">
        <w:rPr>
          <w:rFonts w:cs="Times New Roman" w:hAnsi="Times New Roman" w:ascii="Times New Roman"/>
          <w:sz w:val="24"/>
          <w:szCs w:val="24"/>
        </w:rPr>
        <w:t xml:space="preserve">Rješenjem ovoga suda posl. broj St-1582/11 od 14. kolovoza 2012. otvoren je i istovremeno zaključen stečajni postupak nad dužnikom, temeljem članka 63. </w:t>
      </w:r>
      <w:r w:rsidR="00697D8D" w:rsidRPr="00697D8D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97D8D">
        <w:rPr>
          <w:rFonts w:cs="Times New Roman" w:hAnsi="Times New Roman" w:ascii="Times New Roman"/>
          <w:sz w:val="24"/>
          <w:szCs w:val="24"/>
        </w:rPr>
        <w:t>, nakon čega je u sudskom registru upisano brisanje dužnika iz registra. Na prijedlog stečajnog upravitelja, koji je izvijestio sud o naknadno pronađenoj imovini u iznosu od 4.999.999,00 kuna, određen je nastavak postupka radi diobe naknadno pronađene imovine rješenjem ovoga suda novi posl. broj St-871/12 od 18. travnja 2016.</w:t>
      </w:r>
    </w:p>
    <w:p w:rsidRDefault="00C7499C" w:rsidP="00DA0460" w:rsidR="00C749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1C1F" w:rsidP="00C7499C" w:rsid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97D8D">
        <w:rPr>
          <w:rFonts w:cs="Times New Roman" w:hAnsi="Times New Roman" w:ascii="Times New Roman"/>
          <w:sz w:val="24"/>
          <w:szCs w:val="24"/>
        </w:rPr>
        <w:t>Naknadno pronađena imovina u iznosu od 4.999.999,00 kuna ujedno je i jedina unovčena imovina u ovom stečajnom postupku, slijedom čega stečajni upravitelj ima pravo na nagradu temeljem članka 94. stavak 1. i 2. Stečajnog zakona</w:t>
      </w:r>
      <w:r w:rsidR="00EC458F">
        <w:rPr>
          <w:rFonts w:cs="Times New Roman" w:hAnsi="Times New Roman" w:ascii="Times New Roman"/>
          <w:sz w:val="24"/>
          <w:szCs w:val="24"/>
        </w:rPr>
        <w:t xml:space="preserve"> (Narodne novine, broj 71/15; nastavno: SZ/15). Naime, važeći SZ/15 u prijelaznim i završnim odredbama članka 441. stavak 1. propisuje da će se stečajni postupci koji su pokrenuti prije njegovog stupanja na snagu dovršiti prema odredbama stečajnog zakona koji je bi o na snazi u vrijeme njegova pokretanja</w:t>
      </w:r>
      <w:r w:rsidR="008B6B41">
        <w:rPr>
          <w:rFonts w:cs="Times New Roman" w:hAnsi="Times New Roman" w:ascii="Times New Roman"/>
          <w:sz w:val="24"/>
          <w:szCs w:val="24"/>
        </w:rPr>
        <w:t>. Iznimno odredbe članka 133. i čanka 293. st. 4. SZ/15 koje se odnose na nastavak postupka radi naknade diobe, primjenjuju se na postupke u tijeku, osim ako su radnje na koje se odnose započete prije stupanja na snagu toga zakona. To znači da je u ovom slučaju potrebno primijeniti odredbe važećeg SZ/15 (tako Visoki trgovački sud Republike Hrvatske, u odluci posl. broj Pž-6533/2016 od 15- studenoga 2016. – neobjavljeno).</w:t>
      </w:r>
    </w:p>
    <w:p w:rsidRDefault="008B6B41" w:rsidP="00C7499C" w:rsidR="008B6B4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6B41" w:rsidP="004E766C" w:rsidR="004E766C" w:rsidRPr="004E76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Slijedom navedenog, za određivanje nagrade stečajnom upravitelju u ovom postupku primjenjuje se </w:t>
      </w:r>
      <w:r w:rsidRPr="008B6B41">
        <w:rPr>
          <w:rFonts w:cs="Times New Roman" w:hAnsi="Times New Roman" w:ascii="Times New Roman"/>
          <w:sz w:val="24"/>
          <w:szCs w:val="24"/>
        </w:rPr>
        <w:t>Uredb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8B6B41">
        <w:rPr>
          <w:rFonts w:cs="Times New Roman" w:hAnsi="Times New Roman" w:ascii="Times New Roman"/>
          <w:sz w:val="24"/>
          <w:szCs w:val="24"/>
        </w:rPr>
        <w:t xml:space="preserve"> o kriterijima i načinu obračuna i plaćanja nagrada stečajnim </w:t>
      </w:r>
      <w:r w:rsidRPr="008B6B41">
        <w:rPr>
          <w:rFonts w:cs="Times New Roman" w:hAnsi="Times New Roman" w:ascii="Times New Roman"/>
          <w:sz w:val="24"/>
          <w:szCs w:val="24"/>
        </w:rPr>
        <w:lastRenderedPageBreak/>
        <w:t>upraviteljima (Narodne novine 106/15</w:t>
      </w:r>
      <w:r>
        <w:rPr>
          <w:rFonts w:cs="Times New Roman" w:hAnsi="Times New Roman" w:ascii="Times New Roman"/>
          <w:sz w:val="24"/>
          <w:szCs w:val="24"/>
        </w:rPr>
        <w:t>; nastavno: Uredba</w:t>
      </w:r>
      <w:r w:rsidRPr="008B6B41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. Prema </w:t>
      </w:r>
      <w:r w:rsidR="004E766C">
        <w:rPr>
          <w:rFonts w:cs="Times New Roman" w:hAnsi="Times New Roman" w:ascii="Times New Roman"/>
          <w:sz w:val="24"/>
          <w:szCs w:val="24"/>
        </w:rPr>
        <w:t>članku 6. Uredbe</w:t>
      </w:r>
      <w:r w:rsidR="004E766C" w:rsidRPr="004E766C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 </w:t>
      </w:r>
      <w:r w:rsidR="004E766C">
        <w:rPr>
          <w:rFonts w:cs="Times New Roman" w:eastAsia="Calibri" w:hAnsi="Times New Roman" w:ascii="Times New Roman"/>
          <w:color w:val="000000"/>
          <w:sz w:val="24"/>
          <w:szCs w:val="24"/>
        </w:rPr>
        <w:t>n</w:t>
      </w:r>
      <w:r w:rsidR="004E766C" w:rsidRPr="004E766C">
        <w:rPr>
          <w:rFonts w:cs="Times New Roman" w:hAnsi="Times New Roman" w:ascii="Times New Roman"/>
          <w:sz w:val="24"/>
          <w:szCs w:val="24"/>
        </w:rPr>
        <w:t>agrada stečajnom upravitelju iznosi najviše 795.000,00 kuna od čega s osnove vrijednosti unovčene stečajne mase najviše 630.000,00 kuna, s osnove dodatne nagrade najviše 150.000,00 kuna i s osnove posebne nagrade najviše 15.000,00 kuna.</w:t>
      </w:r>
    </w:p>
    <w:p w:rsidRDefault="004E766C" w:rsidP="008B6B41" w:rsidR="008B6B4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766C" w:rsidP="004E766C" w:rsidR="004E766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odredbi članka 7. Uredbe n</w:t>
      </w:r>
      <w:r w:rsidRPr="004E766C">
        <w:rPr>
          <w:rFonts w:cs="Times New Roman" w:hAnsi="Times New Roman" w:ascii="Times New Roman"/>
          <w:sz w:val="24"/>
          <w:szCs w:val="24"/>
        </w:rPr>
        <w:t>agrada stečajnom upravitelju s osnove vrijednosti unovčene stečajne mase obračunava se primjenom tablice vrijednosti unovčene steč</w:t>
      </w:r>
      <w:r>
        <w:rPr>
          <w:rFonts w:cs="Times New Roman" w:hAnsi="Times New Roman" w:ascii="Times New Roman"/>
          <w:sz w:val="24"/>
          <w:szCs w:val="24"/>
        </w:rPr>
        <w:t>ajne mase i nagrade u postocima, kako slijedi:</w:t>
      </w:r>
    </w:p>
    <w:p w:rsidRDefault="004E766C" w:rsidP="004E766C" w:rsidR="004E766C">
      <w:pPr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395"/>
        <w:tblCellSpacing w:type="dxa" w:w="15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732"/>
        <w:gridCol w:w="1725"/>
        <w:gridCol w:w="481"/>
        <w:gridCol w:w="1725"/>
        <w:gridCol w:w="1732"/>
      </w:tblGrid>
      <w:tr w:rsidTr="00123B7C" w:rsidR="004E766C" w:rsidRPr="004E766C">
        <w:trPr>
          <w:tblCellSpacing w:type="dxa" w:w="15"/>
        </w:trPr>
        <w:tc>
          <w:tcPr>
            <w:tcW w:type="auto" w:w="0"/>
            <w:gridSpan w:val="4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Nagrada u %</w:t>
            </w:r>
          </w:p>
        </w:tc>
      </w:tr>
      <w:tr w:rsidTr="004E766C" w:rsidR="004E766C" w:rsidRPr="004E766C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</w:tr>
      <w:tr w:rsidTr="004E766C" w:rsidR="004E766C" w:rsidRPr="004E766C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 xml:space="preserve">100.000,01 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300.000,00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</w:tr>
      <w:tr w:rsidTr="004E766C" w:rsidR="004E766C" w:rsidRPr="004E766C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300.000,01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500.000,00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</w:tr>
      <w:tr w:rsidTr="004E766C" w:rsidR="004E766C" w:rsidRPr="004E766C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 xml:space="preserve">500.000,01 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1.000.000,00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</w:tr>
      <w:tr w:rsidTr="004E766C" w:rsidR="004E766C" w:rsidRPr="004E766C">
        <w:trPr>
          <w:tblCellSpacing w:type="dxa" w:w="15"/>
        </w:trPr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1.000.000,01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5.000,000,00</w:t>
            </w:r>
          </w:p>
        </w:tc>
        <w:tc>
          <w:tcPr>
            <w:tcW w:type="auto" w:w="0"/>
            <w:tcBorders>
              <w:top w:space="0" w:sz="8" w:color="666666" w:val="single"/>
              <w:left w:space="0" w:sz="8" w:color="666666" w:val="single"/>
              <w:bottom w:space="0" w:sz="8" w:color="666666" w:val="single"/>
              <w:right w:space="0" w:sz="8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4E766C" w:rsidP="004E766C" w:rsidR="004E766C" w:rsidRPr="004E766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E766C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</w:tr>
    </w:tbl>
    <w:p w:rsidRDefault="004E766C" w:rsidP="004E766C" w:rsidR="004E766C" w:rsidRPr="004E76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E766C" w:rsidP="008B6B41" w:rsidR="008B6B4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 obzirom da vrijednost unovčene stečajne mase u ovom postupku iznosi 4.999.999,00 kuna, stečajnom upravitelju temeljem gore navedene tablice pripada nagrada u visini od </w:t>
      </w:r>
      <w:r w:rsidRPr="004E766C">
        <w:rPr>
          <w:rFonts w:cs="Times New Roman" w:hAnsi="Times New Roman" w:ascii="Times New Roman"/>
          <w:sz w:val="24"/>
          <w:szCs w:val="24"/>
        </w:rPr>
        <w:t>399.999,98 kuna bruto</w:t>
      </w:r>
      <w:r>
        <w:rPr>
          <w:rFonts w:cs="Times New Roman" w:hAnsi="Times New Roman" w:ascii="Times New Roman"/>
          <w:sz w:val="24"/>
          <w:szCs w:val="24"/>
        </w:rPr>
        <w:t>, sve kako je to navedeno izrekom ovog rješenja.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593095">
        <w:rPr>
          <w:rFonts w:cs="Times New Roman" w:hAnsi="Times New Roman" w:ascii="Times New Roman"/>
          <w:sz w:val="24"/>
          <w:szCs w:val="24"/>
        </w:rPr>
        <w:t>1</w:t>
      </w:r>
      <w:r w:rsidR="004E766C">
        <w:rPr>
          <w:rFonts w:cs="Times New Roman" w:hAnsi="Times New Roman" w:ascii="Times New Roman"/>
          <w:sz w:val="24"/>
          <w:szCs w:val="24"/>
        </w:rPr>
        <w:t>9</w:t>
      </w:r>
      <w:r w:rsidR="00593095">
        <w:rPr>
          <w:rFonts w:cs="Times New Roman" w:hAnsi="Times New Roman" w:ascii="Times New Roman"/>
          <w:sz w:val="24"/>
          <w:szCs w:val="24"/>
        </w:rPr>
        <w:t xml:space="preserve">. </w:t>
      </w:r>
      <w:r w:rsidR="003E28A7">
        <w:rPr>
          <w:rFonts w:cs="Times New Roman" w:hAnsi="Times New Roman" w:ascii="Times New Roman"/>
          <w:sz w:val="24"/>
          <w:szCs w:val="24"/>
        </w:rPr>
        <w:t>rujna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4E766C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3E28A7">
        <w:rPr>
          <w:rFonts w:cs="Times New Roman" w:hAnsi="Times New Roman" w:ascii="Times New Roman"/>
          <w:sz w:val="24"/>
          <w:szCs w:val="24"/>
        </w:rPr>
        <w:t>, v.r.</w:t>
      </w: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28A7" w:rsidR="003E28A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E28A7" w:rsidR="003E28A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3E28A7" w:rsidR="003E28A7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3E28A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E28A7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3E28A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E28A7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3E28A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E28A7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3E28A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41" w:rsidR="00605041">
      <w:r>
        <w:separator/>
      </w:r>
    </w:p>
  </w:endnote>
  <w:endnote w:id="0" w:type="continuationSeparator">
    <w:p w:rsidRDefault="00605041" w:rsidR="00605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41" w:rsidR="00605041">
      <w:r>
        <w:separator/>
      </w:r>
    </w:p>
  </w:footnote>
  <w:footnote w:id="0" w:type="continuationSeparator">
    <w:p w:rsidRDefault="00605041" w:rsidR="00605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A14E58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  <w:r w:rsidR="00A14E58">
      <w:rPr>
        <w:rFonts w:cs="Times New Roman" w:hAnsi="Times New Roman" w:ascii="Times New Roman"/>
      </w:rPr>
      <w:t>-73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D43A7"/>
    <w:rsid w:val="000F17DB"/>
    <w:rsid w:val="000F5299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C6959"/>
    <w:rsid w:val="003E28A7"/>
    <w:rsid w:val="003E367D"/>
    <w:rsid w:val="004155FA"/>
    <w:rsid w:val="004269FC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5041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0D64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B3748"/>
    <w:rsid w:val="009D0ED3"/>
    <w:rsid w:val="009E33FD"/>
    <w:rsid w:val="009F0284"/>
    <w:rsid w:val="009F3306"/>
    <w:rsid w:val="00A12F2F"/>
    <w:rsid w:val="00A14E58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4421"/>
    <w:rsid w:val="00C40EA5"/>
    <w:rsid w:val="00C711C9"/>
    <w:rsid w:val="00C7499C"/>
    <w:rsid w:val="00C83AC2"/>
    <w:rsid w:val="00C85527"/>
    <w:rsid w:val="00CA22FE"/>
    <w:rsid w:val="00CE6259"/>
    <w:rsid w:val="00D12600"/>
    <w:rsid w:val="00D373D4"/>
    <w:rsid w:val="00D74871"/>
    <w:rsid w:val="00DA0460"/>
    <w:rsid w:val="00DC1C1F"/>
    <w:rsid w:val="00DC2BB6"/>
    <w:rsid w:val="00DE6A41"/>
    <w:rsid w:val="00E107B5"/>
    <w:rsid w:val="00E41305"/>
    <w:rsid w:val="00E8658C"/>
    <w:rsid w:val="00EC458F"/>
    <w:rsid w:val="00EC6731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E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E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E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E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E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E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E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E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2974</properties:Characters>
  <properties:Lines>103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2017-09-19T12:37:00Z</dcterms:created>
  <dc:creator>Mihael Kovačić</dc:creator>
  <cp:lastModifiedBy>Sonja Pilić</cp:lastModifiedBy>
  <cp:lastPrinted>2017-09-19T12:42:00Z</cp:lastPrinted>
  <dcterms:modified xmlns:xsi="http://www.w3.org/2001/XMLSchema-instance" xsi:type="dcterms:W3CDTF">2017-09-19T12:43:00Z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