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8839" w14:paraId="0e48839" w:rsidRDefault="00797304" w:rsidP="00797304" w:rsidR="00797304" w:rsidRPr="00797304">
      <w:pPr>
        <w:jc w:val="both"/>
        <w15:collapsed w:val="false"/>
        <w:rPr>
          <w:rFonts w:cs="Times New Roman" w:eastAsia="Calibri"/>
          <w:szCs w:val="24"/>
        </w:rPr>
      </w:pPr>
      <w:bookmarkStart w:name="_GoBack" w:id="0"/>
      <w:bookmarkEnd w:id="0"/>
    </w:p>
    <w:p w:rsidRDefault="00EE0079" w:rsidP="00EE0079" w:rsidR="00EE0079" w:rsidRPr="00EE0079">
      <w:pPr>
        <w:spacing w:lineRule="auto" w:line="276" w:after="200"/>
        <w:rPr>
          <w:rFonts w:cs="Times New Roman" w:eastAsia="Calibri" w:hAnsi="Calibri" w:ascii="Calibri"/>
          <w:sz w:val="22"/>
        </w:rPr>
      </w:pPr>
      <w:r w:rsidRPr="00EE0079">
        <w:rPr>
          <w:rFonts w:cs="Times New Roman" w:eastAsia="Calibri" w:hAnsi="Calibri" w:ascii="Calibri"/>
          <w:sz w:val="22"/>
        </w:rPr>
        <w:t xml:space="preserve">                                  </w:t>
      </w:r>
      <w:r>
        <w:rPr>
          <w:rFonts w:cs="Times New Roman" w:eastAsia="Calibri" w:hAnsi="Calibri" w:ascii="Calibri"/>
          <w:noProof/>
          <w:sz w:val="22"/>
          <w:lang w:eastAsia="hr-HR"/>
        </w:rPr>
        <w:t xml:space="preserve">         </w:t>
      </w:r>
      <w:r w:rsidRPr="00EE0079">
        <w:rPr>
          <w:rFonts w:cs="Times New Roman" w:eastAsia="Calibri" w:hAnsi="Calibri" w:ascii="Calibri"/>
          <w:noProof/>
          <w:sz w:val="22"/>
          <w:lang w:eastAsia="hr-HR"/>
        </w:rPr>
        <w:drawing>
          <wp:inline distR="0" distL="0" distB="0" distT="0">
            <wp:extent cy="723265" cx="580390"/>
            <wp:effectExtent b="635"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2"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EE0079" w:rsidP="00EE0079" w:rsidR="00EE0079" w:rsidRPr="00EE0079">
      <w:pPr>
        <w:spacing w:lineRule="auto" w:line="276"/>
        <w:rPr>
          <w:rFonts w:cs="Times New Roman" w:eastAsia="Calibri"/>
          <w:bCs/>
          <w:sz w:val="22"/>
        </w:rPr>
      </w:pPr>
      <w:r w:rsidRPr="00EE0079">
        <w:rPr>
          <w:rFonts w:cs="Times New Roman" w:eastAsia="Calibri"/>
          <w:bCs/>
          <w:sz w:val="22"/>
        </w:rPr>
        <w:t xml:space="preserve">                        REPUBLIKA HRVATSKA</w:t>
      </w:r>
    </w:p>
    <w:p w:rsidRDefault="00EE0079" w:rsidP="00EE0079" w:rsidR="00EE0079" w:rsidRPr="00EE0079">
      <w:pPr>
        <w:spacing w:lineRule="auto" w:line="276"/>
        <w:rPr>
          <w:rFonts w:cs="Times New Roman" w:eastAsia="Calibri"/>
          <w:bCs/>
          <w:sz w:val="22"/>
        </w:rPr>
      </w:pPr>
      <w:r w:rsidRPr="00EE0079">
        <w:rPr>
          <w:rFonts w:cs="Times New Roman" w:eastAsia="Calibri"/>
          <w:bCs/>
          <w:sz w:val="22"/>
        </w:rPr>
        <w:t>VISOKI TRGOVAČKI SUD REPUBLIKE  HRVATSKE</w:t>
      </w:r>
    </w:p>
    <w:p w:rsidRDefault="00EE0079" w:rsidP="00EE0079" w:rsidR="00EE0079" w:rsidRPr="00EE0079">
      <w:pPr>
        <w:spacing w:lineRule="auto" w:line="276"/>
        <w:rPr>
          <w:rFonts w:cs="Times New Roman" w:eastAsia="Calibri"/>
          <w:sz w:val="22"/>
        </w:rPr>
      </w:pPr>
      <w:r w:rsidRPr="00EE0079">
        <w:rPr>
          <w:rFonts w:cs="Times New Roman" w:eastAsia="Calibri"/>
          <w:bCs/>
          <w:sz w:val="22"/>
        </w:rPr>
        <w:t xml:space="preserve">                                    Z A G R E B</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p>
    <w:p w:rsidRDefault="00797304" w:rsidP="00797304" w:rsidR="00797304" w:rsidRPr="00797304">
      <w:pPr>
        <w:jc w:val="center"/>
        <w:rPr>
          <w:rFonts w:cs="Times New Roman" w:eastAsia="Calibri"/>
          <w:szCs w:val="24"/>
        </w:rPr>
      </w:pPr>
      <w:r w:rsidRPr="00797304">
        <w:rPr>
          <w:rFonts w:cs="Times New Roman" w:eastAsia="Calibri"/>
          <w:szCs w:val="24"/>
        </w:rPr>
        <w:t>R E P U B L I K A   H R V A T S K A</w:t>
      </w:r>
    </w:p>
    <w:p w:rsidRDefault="00797304" w:rsidP="00797304" w:rsidR="00797304" w:rsidRPr="00797304">
      <w:pPr>
        <w:jc w:val="center"/>
        <w:rPr>
          <w:rFonts w:cs="Times New Roman" w:eastAsia="Calibri"/>
          <w:szCs w:val="24"/>
        </w:rPr>
      </w:pPr>
    </w:p>
    <w:p w:rsidRDefault="00797304" w:rsidP="00797304" w:rsidR="00797304" w:rsidRPr="00797304">
      <w:pPr>
        <w:jc w:val="center"/>
        <w:rPr>
          <w:rFonts w:cs="Times New Roman" w:eastAsia="Calibri"/>
          <w:szCs w:val="24"/>
        </w:rPr>
      </w:pPr>
      <w:r w:rsidRPr="00797304">
        <w:rPr>
          <w:rFonts w:cs="Times New Roman" w:eastAsia="Calibri"/>
          <w:szCs w:val="24"/>
        </w:rPr>
        <w:t>R J E Š E NJ E</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ab/>
        <w:t>Visoki trgovački sud Republike Hrvatske, u vijeću sastavljenom od sudaca Lidije Tomljenović, predsjednika vijeća, Marine Veljak, suca izvjestitelja i Mirne Maržić, člana vijeća, u stečajnom postupku nad dužnikom QUAESTOR PAG d.o.o., OIB 59125695544, Zagreb, Petrine 36, kojeg zastupaju punomoćnici, odvjetnici iz Zajedničkog odvjetničkog ureda Saša Poldan, Goran Gatara, Vera Dizdarević, Valentina Vižintin i Marko Komorski iz Rijeke, Jadranski trg 4/II, odlučujući o dužnikovoj žalbi protiv rješenja Trgovačkog suda u Zagrebu poslovni broj St-262/2018-13 od 28. veljače 2018., u sjednici vijeća održanoj 17. travnja 2018.</w:t>
      </w:r>
    </w:p>
    <w:p w:rsidRDefault="00797304" w:rsidP="00797304" w:rsidR="00797304" w:rsidRPr="00797304">
      <w:pPr>
        <w:jc w:val="center"/>
        <w:rPr>
          <w:rFonts w:cs="Times New Roman" w:eastAsia="Calibri"/>
          <w:szCs w:val="24"/>
        </w:rPr>
      </w:pPr>
      <w:r w:rsidRPr="00797304">
        <w:rPr>
          <w:rFonts w:cs="Times New Roman" w:eastAsia="Calibri"/>
          <w:szCs w:val="24"/>
        </w:rPr>
        <w:t>r i j e š i o   j e</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 xml:space="preserve">I. Odbija se dužnikova žalba kao neosnovana i potvrđuje rješenje Trgovačkog suda u Zagrebu poslovni broj St-262/2018-13 od 28. veljače 2018. u točki II. izreke. </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II. Odbacuje se dužnikova žalba izjavljena protiv rješenja Trgovačkog suda u Zagrebu poslovni broj St-262/2018-13 od 28. veljače 2018. u točkama I., III., IV., V. i VI. izreke.</w:t>
      </w:r>
    </w:p>
    <w:p w:rsidRDefault="00797304" w:rsidP="00797304" w:rsidR="00797304" w:rsidRPr="00797304">
      <w:pPr>
        <w:jc w:val="both"/>
        <w:rPr>
          <w:rFonts w:cs="Times New Roman" w:eastAsia="Calibri"/>
          <w:szCs w:val="24"/>
        </w:rPr>
      </w:pPr>
    </w:p>
    <w:p w:rsidRDefault="00797304" w:rsidP="00797304" w:rsidR="00797304" w:rsidRPr="00797304">
      <w:pPr>
        <w:jc w:val="center"/>
        <w:rPr>
          <w:rFonts w:cs="Times New Roman" w:eastAsia="Calibri"/>
          <w:szCs w:val="24"/>
        </w:rPr>
      </w:pPr>
      <w:r w:rsidRPr="00797304">
        <w:rPr>
          <w:rFonts w:cs="Times New Roman" w:eastAsia="Calibri"/>
          <w:szCs w:val="24"/>
        </w:rPr>
        <w:t>Obrazloženje</w:t>
      </w:r>
    </w:p>
    <w:p w:rsidRDefault="00797304" w:rsidP="00797304" w:rsidR="00797304" w:rsidRPr="00797304">
      <w:pPr>
        <w:jc w:val="both"/>
        <w:rPr>
          <w:rFonts w:cs="Times New Roman" w:eastAsia="Calibri"/>
          <w:szCs w:val="24"/>
        </w:rPr>
      </w:pPr>
    </w:p>
    <w:p w:rsidRDefault="00797304" w:rsidP="00797304" w:rsidR="002F00A0">
      <w:pPr>
        <w:jc w:val="both"/>
        <w:rPr>
          <w:rFonts w:cs="Times New Roman" w:eastAsia="Calibri"/>
          <w:szCs w:val="24"/>
        </w:rPr>
      </w:pPr>
      <w:r w:rsidRPr="00797304">
        <w:rPr>
          <w:rFonts w:cs="Times New Roman" w:eastAsia="Calibri"/>
          <w:szCs w:val="24"/>
        </w:rPr>
        <w:tab/>
        <w:t xml:space="preserve">Rješenjem Trgovačkog suda u Zagrebu poslovni broj St-262/2018-13 od 28. veljače 2018. pokrenut je prethodni postupak radi utvrđivanja pretpostavki za otvaranje stečajnog postupka nad stečajnim dužnikom (točka I. izreke), određene su mjere osiguranja i to: imenovan je privremeni stečajni upravitelj (točka II. izreke) koji će ispitati postoje li razlozi za otvaranje stečajnog postupka i mogu li se imovinom dužnika namiriti troškovi postupka. Privremenom stečajnom upravitelju dana je ovlast stupiti u poslovne prostorije dužnika i ondje provesti potrebne radnje. Uprava kao i svi drugi radnici dužnika dužni su mu dopustiti uvid u poslovne knjige i svu drugu poslovnu dokumentaciju koju zatraži kao i pružiti sve potrebne podatke i obavijesti. Protiv osoba koje se tome usprotive ili onemogućuju izvršenje ovih dužnosti privremenog stečajnog upravitelja može se izreći novčana kazna do 50.000,00 kn (točka III. izreke). Dužnikovi dužnici pozvani su svoje obveze ispunjavati vodeći računa o ovom rješenju (točka IV. izreke). Određena je zabilježba rješenja o imenovanju privremenog stečajnog upravitelja u sudski registar (točka V. izreke) i zakazano ročište radi izjašnjenja o prijedlogu za otvaranje stečajnog postupka koje će se spojiti s ročištem radi rasprave o uvjetima za otvaranje stečajnog postupka za 15. ožujka 2018. u 10,45 sati na Trgovačkom sudu u Zagrebu, Petrinjska 8, sudnica 96/II - Mala dvorana (točka VI. izreke) te su pozvani dužnik, privremeni stečajni upravitelj i pravne osobe koje za dužnika obavljaju poslove </w:t>
      </w:r>
    </w:p>
    <w:p w:rsidRDefault="002F00A0" w:rsidP="00797304" w:rsidR="002F00A0">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platnog prometa pristupiti na zakazano ročište. Pozvane osobe o prijedlogu se mogu očitovati i pisano (točka VII. izreke).</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ab/>
        <w:t xml:space="preserve">Prvostupanjski sud je donio pobijano rješenje primjenom čl. 115. st. 1. i 2., čl. 117. </w:t>
      </w:r>
      <w:r w:rsidRPr="00797304">
        <w:rPr>
          <w:rFonts w:cs="Times New Roman" w:eastAsia="Calibri"/>
          <w:szCs w:val="24"/>
        </w:rPr>
        <w:br/>
        <w:t>st. 1., čl. 118. st. 1. t. 1., čl. 119. st. 3., 4. i 5., čl. 120. st. 1. i 2. i čl. 128. st. 5. Stečajnog zakona („Narodne novine“ broj 71/15 i 104/17; dalje: SZ).</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ab/>
        <w:t>Protiv navedenog rješenja u cijelosti žalbu je podnio stečajni dužnik iz svih žalbenih razloga s prijedlogom da ga ovaj sud preinači i obustavi postupak podredno ukine i predmet vrati na ponovni postupak.</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ab/>
        <w:t>Obrazlažući žalbu ističe da pobijano rješenje ima nedostataka zbog kojih se ne može ispitati, da je nerazumljivo na temelju čega je doneseno, a naročito nisu jasni razlozi i odlučne činjenice za donošenje rješenja u točki II. izreke, čime je počinjena bitna povreda odredaba parničnog postupka iz čl. 354. st. 2. t. 11. Zakona o parničnom postupku („Narodne novine“ broj: 53/91, 91/92, 112/99, 88/01, 117/03, 88/05, 2/07, 84/08, 123/08, 57/11, 148/11-pročišćeni tekst, 25/13 i 89/14; dalje: ZPP).</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Žalba djelomično nije osnovana, a djelomično nije dopuštena.</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ab/>
        <w:t>Ispitavši pobijano rješenje na temelju odredaba čl. 365. st. 1. i 2. i čl. 381. ZPP-a, u vezi s odredbom čl. 10. SZ-a, u granicama žalbenih razloga, pazeći po službenoj dužnosti na bitne povrede odredaba postupka propisane čl. 354. st. 2. t. 2., 4., 8., 9., 11., 13. i 14. ZPP-a i na pravilnu primjenu materijalnog prava, ovaj sud utvrđuje da je ono pravilno i zakonito.</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Izričitom zakonskom odredbom (čl. 115. st. 1. SZ-a) propisano je da protiv rješenja o pokretanju prethodnog postupka radi utvrđivanja pretpostavki za otvaranje stečajnog postupka nije dopuštena posebna žalba. Nadalje, odredbom čl. 19. st. 7. SZ-a propisano je da protiv zaključka nije dopušten pravni lijek. Odredbom čl. 18. st. 2. SZ-a propisano je da zaključkom sud izdaje nalog službenoj osobi ili tijelu u postupku za obavljanje pojedinih radnji te odlučuje o upravljanju postupkom i drugim pitanjima ako je to izrijekom određeno Stečajnim zakonom.</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 xml:space="preserve">Stoga dužnikova žalba protiv rješenja iz točke I. izreke nije dopuštena kao ni žalba protiv zaključaka iz točaka III., IV., V. i VI. izreke pobijanog rješenja (čl. 358. st. 1. ZPP-a, </w:t>
      </w:r>
      <w:r w:rsidRPr="00797304">
        <w:rPr>
          <w:rFonts w:cs="Times New Roman" w:eastAsia="Calibri"/>
          <w:szCs w:val="24"/>
        </w:rPr>
        <w:br/>
        <w:t>čl. 10. SZ-a).</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Nadalje, odredbom čl. 115. st. 2. SZ-a propisano je da u rješenju o pokretanju prethodnog postupka sud može imenovati privremenog stečajnog upravitelja. Također je odredbom čl. 118. st. 1. SZ-a propisano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te je u stavku 2. točki 1. istog članka propisano da sud može osobito: imenovati privremenog stečajnog upravitelja uz odgovarajuću primjenu odredbi Stečajnog zakona o izboru i imenovanju stečajnog upravitelja.</w:t>
      </w:r>
    </w:p>
    <w:p w:rsidRDefault="00797304" w:rsidP="00797304" w:rsidR="00797304" w:rsidRPr="00797304">
      <w:pPr>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lastRenderedPageBreak/>
        <w:t xml:space="preserve">Dakle, u tom slučaju privremeni stečajni upravitelj predstavlja specifičnu mjeru osiguranja kojom se ograničavaju ovlasti tijela stečajnog dužnika, s trajanjem do donošenja odluke o prijedlogu za pokretanje stečajnog postupka (čl. 129. SZ-a). </w:t>
      </w:r>
    </w:p>
    <w:p w:rsidRDefault="00797304" w:rsidP="00797304" w:rsidR="00797304" w:rsidRPr="00797304">
      <w:pPr>
        <w:ind w:firstLine="708"/>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 xml:space="preserve">Ovaj sud ne nalazi nepravilnosti u odluci prvostupanjskog suda da u ovom prethodnom postupku imenuje privremenog stečajnog upravitelja (arg. iz čl. 119. SZ-a), a niti je žalbenim navodima dovedena u pitanje ispravnost ocjene suda o potrebi određivanja mjera osiguranja. </w:t>
      </w:r>
    </w:p>
    <w:p w:rsidRDefault="00797304" w:rsidP="00797304" w:rsidR="00797304" w:rsidRPr="00797304">
      <w:pPr>
        <w:ind w:firstLine="708"/>
        <w:jc w:val="both"/>
        <w:rPr>
          <w:rFonts w:cs="Times New Roman" w:eastAsia="Calibri"/>
          <w:szCs w:val="24"/>
        </w:rPr>
      </w:pPr>
    </w:p>
    <w:p w:rsidRDefault="00797304" w:rsidP="00797304" w:rsidR="00797304" w:rsidRPr="00797304">
      <w:pPr>
        <w:ind w:firstLine="708"/>
        <w:jc w:val="both"/>
        <w:rPr>
          <w:rFonts w:cs="Times New Roman" w:eastAsia="Calibri"/>
          <w:szCs w:val="24"/>
        </w:rPr>
      </w:pPr>
      <w:r w:rsidRPr="00797304">
        <w:rPr>
          <w:rFonts w:cs="Times New Roman" w:eastAsia="Calibri"/>
          <w:szCs w:val="24"/>
        </w:rPr>
        <w:t>Upravo će se tijekom prethodnog postupka ispitati postoje li uvjeti za otvaranje stečajnog postupka, kao i stanje dužnikove imovine, odnosno njegovo gospodarsko-financijsko stanje i kako je prvostupanjski sud naznačio, utvrdit će se hoće li se tuženikovom imovinom namiriti troškovi postupka.</w:t>
      </w:r>
    </w:p>
    <w:p w:rsidRDefault="00797304" w:rsidP="00797304" w:rsidR="00797304" w:rsidRPr="00797304">
      <w:pPr>
        <w:jc w:val="both"/>
        <w:rPr>
          <w:rFonts w:cs="Times New Roman" w:eastAsia="Calibri"/>
          <w:szCs w:val="24"/>
        </w:rPr>
      </w:pPr>
    </w:p>
    <w:p w:rsidRDefault="00797304" w:rsidP="00797304" w:rsidR="00797304" w:rsidRPr="00797304">
      <w:pPr>
        <w:jc w:val="both"/>
        <w:rPr>
          <w:rFonts w:cs="Times New Roman" w:eastAsia="Calibri"/>
          <w:szCs w:val="24"/>
        </w:rPr>
      </w:pPr>
      <w:r w:rsidRPr="00797304">
        <w:rPr>
          <w:rFonts w:cs="Times New Roman" w:eastAsia="Calibri"/>
          <w:szCs w:val="24"/>
        </w:rPr>
        <w:tab/>
        <w:t xml:space="preserve">Slijedom navedenog, budući da žalbenim navodima nisu dovedeni u pitanje pravilnost i zakonitost pobijanog rješenja žalba je odbijena, a pobijano rješenje u točki II. izreke potvrđeno (čl. 380. t. 2. ZPP-a, čl. 10. SZ-a). </w:t>
      </w:r>
    </w:p>
    <w:p w:rsidRDefault="00797304" w:rsidP="00797304" w:rsidR="00797304" w:rsidRPr="00797304">
      <w:pPr>
        <w:jc w:val="both"/>
        <w:rPr>
          <w:rFonts w:cs="Times New Roman" w:eastAsia="Calibri"/>
          <w:szCs w:val="24"/>
        </w:rPr>
      </w:pPr>
    </w:p>
    <w:p w:rsidRDefault="00797304" w:rsidP="00797304" w:rsidR="00797304" w:rsidRPr="00797304">
      <w:pPr>
        <w:jc w:val="center"/>
        <w:rPr>
          <w:rFonts w:cs="Times New Roman" w:eastAsia="Calibri"/>
          <w:szCs w:val="24"/>
        </w:rPr>
      </w:pPr>
      <w:r w:rsidRPr="00797304">
        <w:rPr>
          <w:rFonts w:cs="Times New Roman" w:eastAsia="Calibri"/>
          <w:szCs w:val="24"/>
        </w:rPr>
        <w:t>Zagreb, 17. travnja 2018.</w:t>
      </w:r>
    </w:p>
    <w:p w:rsidRDefault="00797304" w:rsidP="00797304" w:rsidR="00797304" w:rsidRPr="00797304">
      <w:pPr>
        <w:jc w:val="both"/>
        <w:rPr>
          <w:rFonts w:cs="Times New Roman" w:eastAsia="Calibri"/>
          <w:szCs w:val="24"/>
        </w:rPr>
      </w:pPr>
    </w:p>
    <w:p w:rsidRDefault="00797304" w:rsidP="00797304" w:rsidR="00797304" w:rsidRPr="00797304">
      <w:pPr>
        <w:spacing w:after="240"/>
        <w:ind w:left="4536"/>
        <w:contextualSpacing/>
        <w:jc w:val="center"/>
        <w:rPr>
          <w:rFonts w:cs="Times New Roman" w:eastAsia="Times New Roman"/>
          <w:szCs w:val="24"/>
          <w:lang w:eastAsia="hr-HR"/>
        </w:rPr>
      </w:pPr>
      <w:r w:rsidRPr="00797304">
        <w:rPr>
          <w:rFonts w:cs="Times New Roman" w:eastAsia="Times New Roman"/>
          <w:szCs w:val="24"/>
          <w:lang w:eastAsia="hr-HR"/>
        </w:rPr>
        <w:t>Predsjednik vijeća</w:t>
      </w:r>
    </w:p>
    <w:p w:rsidRDefault="00797304" w:rsidP="00797304" w:rsidR="00797304" w:rsidRPr="00797304">
      <w:pPr>
        <w:spacing w:after="240"/>
        <w:ind w:left="4536"/>
        <w:contextualSpacing/>
        <w:jc w:val="center"/>
        <w:rPr>
          <w:rFonts w:cs="Times New Roman" w:eastAsia="Times New Roman"/>
          <w:szCs w:val="24"/>
          <w:lang w:eastAsia="hr-HR"/>
        </w:rPr>
      </w:pPr>
      <w:r w:rsidRPr="00797304">
        <w:rPr>
          <w:rFonts w:cs="Times New Roman" w:eastAsia="Times New Roman"/>
          <w:szCs w:val="24"/>
          <w:lang w:eastAsia="hr-HR"/>
        </w:rPr>
        <w:t>Lidija Tomljenović, v. r.</w:t>
      </w:r>
    </w:p>
    <w:p w:rsidRDefault="00797304" w:rsidP="00797304" w:rsidR="00797304" w:rsidRPr="00797304">
      <w:pPr>
        <w:spacing w:after="240"/>
        <w:ind w:left="4536"/>
        <w:contextualSpacing/>
        <w:jc w:val="center"/>
        <w:rPr>
          <w:rFonts w:cs="Times New Roman" w:eastAsia="Times New Roman"/>
          <w:szCs w:val="24"/>
          <w:lang w:eastAsia="hr-HR"/>
        </w:rPr>
      </w:pPr>
    </w:p>
    <w:p w:rsidRDefault="00797304" w:rsidP="00797304" w:rsidR="00797304" w:rsidRPr="00797304">
      <w:pPr>
        <w:spacing w:after="240"/>
        <w:ind w:left="4536"/>
        <w:contextualSpacing/>
        <w:jc w:val="center"/>
        <w:rPr>
          <w:rFonts w:cs="Times New Roman" w:eastAsia="Times New Roman"/>
          <w:szCs w:val="24"/>
          <w:lang w:eastAsia="hr-HR"/>
        </w:rPr>
      </w:pPr>
      <w:r w:rsidRPr="00797304">
        <w:rPr>
          <w:rFonts w:cs="Times New Roman" w:eastAsia="Times New Roman"/>
          <w:szCs w:val="24"/>
          <w:lang w:eastAsia="hr-HR"/>
        </w:rPr>
        <w:t>Za točnost otpravka – ovlašteni službenik</w:t>
      </w:r>
    </w:p>
    <w:p w:rsidRDefault="00797304" w:rsidP="00797304" w:rsidR="00797304" w:rsidRPr="00797304">
      <w:pPr>
        <w:spacing w:after="240"/>
        <w:ind w:left="4536"/>
        <w:contextualSpacing/>
        <w:jc w:val="center"/>
        <w:rPr>
          <w:rFonts w:cs="Times New Roman" w:eastAsia="Times New Roman"/>
          <w:szCs w:val="24"/>
          <w:lang w:eastAsia="hr-HR"/>
        </w:rPr>
      </w:pPr>
      <w:r w:rsidRPr="00797304">
        <w:rPr>
          <w:rFonts w:cs="Times New Roman" w:eastAsia="Times New Roman"/>
          <w:szCs w:val="24"/>
          <w:lang w:eastAsia="hr-HR"/>
        </w:rPr>
        <w:t>Brankica Curman</w:t>
      </w:r>
    </w:p>
    <w:p w:rsidRDefault="00797304" w:rsidP="00797304" w:rsidR="00797304" w:rsidRPr="00797304">
      <w:pPr>
        <w:jc w:val="both"/>
        <w:rPr>
          <w:rFonts w:cs="Times New Roman" w:eastAsia="Calibri"/>
          <w:szCs w:val="24"/>
        </w:rPr>
      </w:pPr>
    </w:p>
    <w:p w:rsidRDefault="003A50EB" w:rsidR="002E4167"/>
    <w:sectPr w:rsidR="002E416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079" w:rsidP="00EE0079" w:rsidR="00EE0079">
      <w:r>
        <w:separator/>
      </w:r>
    </w:p>
  </w:endnote>
  <w:endnote w:id="0" w:type="continuationSeparator">
    <w:p w:rsidRDefault="00EE0079" w:rsidP="00EE0079" w:rsidR="00EE00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0074631"/>
      <w:docPartObj>
        <w:docPartGallery w:val="Page Numbers (Bottom of Page)"/>
        <w:docPartUnique/>
      </w:docPartObj>
    </w:sdtPr>
    <w:sdtEndPr/>
    <w:sdtContent>
      <w:p w:rsidRDefault="002F00A0" w:rsidR="002F00A0">
        <w:pPr>
          <w:pStyle w:val="Podnoje"/>
          <w:jc w:val="center"/>
        </w:pPr>
        <w:r>
          <w:fldChar w:fldCharType="begin"/>
        </w:r>
        <w:r>
          <w:instrText>PAGE   \* MERGEFORMAT</w:instrText>
        </w:r>
        <w:r>
          <w:fldChar w:fldCharType="separate"/>
        </w:r>
        <w:r w:rsidR="003A50EB">
          <w:rPr>
            <w:noProof/>
          </w:rPr>
          <w:t>3</w:t>
        </w:r>
        <w:r>
          <w:fldChar w:fldCharType="end"/>
        </w:r>
      </w:p>
    </w:sdtContent>
  </w:sdt>
  <w:p w:rsidRDefault="002F00A0" w:rsidR="002F00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079" w:rsidP="00EE0079" w:rsidR="00EE0079">
      <w:r>
        <w:separator/>
      </w:r>
    </w:p>
  </w:footnote>
  <w:footnote w:id="0" w:type="continuationSeparator">
    <w:p w:rsidRDefault="00EE0079" w:rsidP="00EE0079" w:rsidR="00EE00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0079" w:rsidP="00EE0079" w:rsidR="00EE0079">
    <w:pPr>
      <w:pStyle w:val="Zaglavlje"/>
      <w:jc w:val="right"/>
    </w:pPr>
    <w:r>
      <w:t>27 Pž-2191-2018/2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7304"/>
    <w:rsid w:val="002F00A0"/>
    <w:rsid w:val="003A50EB"/>
    <w:rsid w:val="00797304"/>
    <w:rsid w:val="00821998"/>
    <w:rsid w:val="00BA483C"/>
    <w:rsid w:val="00EE00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83C"/>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E00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0079"/>
    <w:rPr>
      <w:rFonts w:cs="Tahoma" w:hAnsi="Tahoma" w:ascii="Tahoma"/>
      <w:sz w:val="16"/>
      <w:szCs w:val="16"/>
    </w:rPr>
  </w:style>
  <w:style w:styleId="Zaglavlje" w:type="paragraph">
    <w:name w:val="header"/>
    <w:basedOn w:val="Normal"/>
    <w:link w:val="ZaglavljeChar"/>
    <w:uiPriority w:val="99"/>
    <w:unhideWhenUsed/>
    <w:rsid w:val="00EE0079"/>
    <w:pPr>
      <w:tabs>
        <w:tab w:pos="4536" w:val="center"/>
        <w:tab w:pos="9072" w:val="right"/>
      </w:tabs>
    </w:pPr>
  </w:style>
  <w:style w:customStyle="true" w:styleId="ZaglavljeChar" w:type="character">
    <w:name w:val="Zaglavlje Char"/>
    <w:basedOn w:val="Zadanifontodlomka"/>
    <w:link w:val="Zaglavlje"/>
    <w:uiPriority w:val="99"/>
    <w:rsid w:val="00EE0079"/>
    <w:rPr>
      <w:rFonts w:hAnsi="Times New Roman" w:ascii="Times New Roman"/>
      <w:sz w:val="24"/>
    </w:rPr>
  </w:style>
  <w:style w:styleId="Podnoje" w:type="paragraph">
    <w:name w:val="footer"/>
    <w:basedOn w:val="Normal"/>
    <w:link w:val="PodnojeChar"/>
    <w:uiPriority w:val="99"/>
    <w:unhideWhenUsed/>
    <w:rsid w:val="00EE0079"/>
    <w:pPr>
      <w:tabs>
        <w:tab w:pos="4536" w:val="center"/>
        <w:tab w:pos="9072" w:val="right"/>
      </w:tabs>
    </w:pPr>
  </w:style>
  <w:style w:customStyle="true" w:styleId="PodnojeChar" w:type="character">
    <w:name w:val="Podnožje Char"/>
    <w:basedOn w:val="Zadanifontodlomka"/>
    <w:link w:val="Podnoje"/>
    <w:uiPriority w:val="99"/>
    <w:rsid w:val="00EE0079"/>
    <w:rPr>
      <w:rFonts w:hAnsi="Times New Roman" w:ascii="Times New Roman"/>
      <w:sz w:val="24"/>
    </w:rPr>
  </w:style>
  <w:style w:styleId="Tekstrezerviranogmjesta" w:type="character">
    <w:name w:val="Placeholder Text"/>
    <w:basedOn w:val="Zadanifontodlomka"/>
    <w:uiPriority w:val="99"/>
    <w:semiHidden/>
    <w:rsid w:val="003A50EB"/>
    <w:rPr>
      <w:color w:val="808080"/>
      <w:bdr w:space="0" w:sz="0" w:color="auto" w:val="none"/>
      <w:shd w:fill="auto" w:color="auto" w:val="clear"/>
    </w:rPr>
  </w:style>
  <w:style w:customStyle="true" w:styleId="eSPISCCParagraphDefaultFont" w:type="character">
    <w:name w:val="eSPIS_CC_Paragraph Default Font"/>
    <w:basedOn w:val="Zadanifontodlomka"/>
    <w:rsid w:val="003A50EB"/>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50EB"/>
    <w:rPr>
      <w:rFonts w:cs="Times New Roman" w:eastAsia="Calibri"/>
      <w:szCs w:val="24"/>
      <w:bdr w:space="0" w:sz="0" w:color="auto" w:val="none"/>
      <w:shd w:fill="FFFFCC" w:color="auto" w:val="clear"/>
      <w:lang w:val="hr-HR"/>
    </w:rPr>
  </w:style>
  <w:style w:customStyle="true" w:styleId="PozadinaSvijetloCrvena" w:type="character">
    <w:name w:val="Pozadina_SvijetloCrvena"/>
    <w:basedOn w:val="eSPISCCParagraphDefaultFont"/>
    <w:rsid w:val="003A50EB"/>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50EB"/>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83C"/>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E0079"/>
    <w:rPr>
      <w:rFonts w:ascii="Tahoma" w:cs="Tahoma" w:hAnsi="Tahoma"/>
      <w:sz w:val="16"/>
      <w:szCs w:val="16"/>
    </w:rPr>
  </w:style>
  <w:style w:customStyle="1" w:styleId="TekstbaloniaChar" w:type="character">
    <w:name w:val="Tekst balončića Char"/>
    <w:basedOn w:val="Zadanifontodlomka"/>
    <w:link w:val="Tekstbalonia"/>
    <w:uiPriority w:val="99"/>
    <w:semiHidden/>
    <w:rsid w:val="00EE0079"/>
    <w:rPr>
      <w:rFonts w:ascii="Tahoma" w:cs="Tahoma" w:hAnsi="Tahoma"/>
      <w:sz w:val="16"/>
      <w:szCs w:val="16"/>
    </w:rPr>
  </w:style>
  <w:style w:styleId="Zaglavlje" w:type="paragraph">
    <w:name w:val="header"/>
    <w:basedOn w:val="Normal"/>
    <w:link w:val="ZaglavljeChar"/>
    <w:uiPriority w:val="99"/>
    <w:unhideWhenUsed/>
    <w:rsid w:val="00EE0079"/>
    <w:pPr>
      <w:tabs>
        <w:tab w:pos="4536" w:val="center"/>
        <w:tab w:pos="9072" w:val="right"/>
      </w:tabs>
    </w:pPr>
  </w:style>
  <w:style w:customStyle="1" w:styleId="ZaglavljeChar" w:type="character">
    <w:name w:val="Zaglavlje Char"/>
    <w:basedOn w:val="Zadanifontodlomka"/>
    <w:link w:val="Zaglavlje"/>
    <w:uiPriority w:val="99"/>
    <w:rsid w:val="00EE0079"/>
    <w:rPr>
      <w:rFonts w:ascii="Times New Roman" w:hAnsi="Times New Roman"/>
      <w:sz w:val="24"/>
    </w:rPr>
  </w:style>
  <w:style w:styleId="Podnoje" w:type="paragraph">
    <w:name w:val="footer"/>
    <w:basedOn w:val="Normal"/>
    <w:link w:val="PodnojeChar"/>
    <w:uiPriority w:val="99"/>
    <w:unhideWhenUsed/>
    <w:rsid w:val="00EE0079"/>
    <w:pPr>
      <w:tabs>
        <w:tab w:pos="4536" w:val="center"/>
        <w:tab w:pos="9072" w:val="right"/>
      </w:tabs>
    </w:pPr>
  </w:style>
  <w:style w:customStyle="1" w:styleId="PodnojeChar" w:type="character">
    <w:name w:val="Podnožje Char"/>
    <w:basedOn w:val="Zadanifontodlomka"/>
    <w:link w:val="Podnoje"/>
    <w:uiPriority w:val="99"/>
    <w:rsid w:val="00EE0079"/>
    <w:rPr>
      <w:rFonts w:ascii="Times New Roman" w:hAnsi="Times New Roman"/>
      <w:sz w:val="24"/>
    </w:rPr>
  </w:style>
  <w:style w:styleId="Tekstrezerviranogmjesta" w:type="character">
    <w:name w:val="Placeholder Text"/>
    <w:basedOn w:val="Zadanifontodlomka"/>
    <w:uiPriority w:val="99"/>
    <w:semiHidden/>
    <w:rsid w:val="003A50EB"/>
    <w:rPr>
      <w:color w:val="808080"/>
      <w:bdr w:color="auto" w:space="0" w:sz="0" w:val="none"/>
      <w:shd w:color="auto" w:fill="auto" w:val="clear"/>
    </w:rPr>
  </w:style>
  <w:style w:customStyle="1" w:styleId="eSPISCCParagraphDefaultFont" w:type="character">
    <w:name w:val="eSPIS_CC_Paragraph Default Font"/>
    <w:basedOn w:val="Zadanifontodlomka"/>
    <w:rsid w:val="003A50EB"/>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50EB"/>
    <w:rPr>
      <w:rFonts w:cs="Times New Roman" w:eastAsia="Calibri"/>
      <w:szCs w:val="24"/>
      <w:bdr w:color="auto" w:space="0" w:sz="0" w:val="none"/>
      <w:shd w:color="auto" w:fill="FFFFCC" w:val="clear"/>
      <w:lang w:val="hr-HR"/>
    </w:rPr>
  </w:style>
  <w:style w:customStyle="1" w:styleId="PozadinaSvijetloCrvena" w:type="character">
    <w:name w:val="Pozadina_SvijetloCrvena"/>
    <w:basedOn w:val="eSPISCCParagraphDefaultFont"/>
    <w:rsid w:val="003A50EB"/>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50EB"/>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5162744">
      <w:bodyDiv w:val="true"/>
      <w:marLeft w:val="0"/>
      <w:marRight w:val="0"/>
      <w:marTop w:val="0"/>
      <w:marBottom w:val="0"/>
      <w:divBdr>
        <w:top w:space="0" w:sz="0" w:color="auto" w:val="none"/>
        <w:left w:space="0" w:sz="0" w:color="auto" w:val="none"/>
        <w:bottom w:space="0" w:sz="0" w:color="auto" w:val="none"/>
        <w:right w:space="0" w:sz="0" w:color="auto" w:val="none"/>
      </w:divBdr>
    </w:div>
    <w:div w:id="2027974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1052</properties:Words>
  <properties:Characters>5794</properties:Characters>
  <properties:Lines>120</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2018-06-28T06:32:00Z</dcterms:created>
  <dc:creator>Sonja Pilić</dc:creator>
  <cp:lastModifiedBy>Sonja Pilić</cp:lastModifiedBy>
  <dcterms:modified xmlns:xsi="http://www.w3.org/2001/XMLSchema-instance" xsi:type="dcterms:W3CDTF">2018-06-28T06:38:00Z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St-262/2018-26 / Podnesak - Odluka višeg suda (II st. rješenje.docx)</vt:lpwstr>
  </prop:property>
  <prop:property name="CC_coloring" pid="4" fmtid="{D5CDD505-2E9C-101B-9397-08002B2CF9AE}">
    <vt:bool>false</vt:bool>
  </prop:property>
  <prop:property name="BrojStranica" pid="5" fmtid="{D5CDD505-2E9C-101B-9397-08002B2CF9AE}">
    <vt:i4>3</vt:i4>
  </prop:property>
</prop:Properties>
</file>