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1116" w14:paraId="0e61116" w:rsidRDefault="00062C7D" w:rsidP="00062C7D" w:rsidR="00062C7D" w:rsidRPr="00BB3B79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BB3B79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062C7D" w:rsidP="00062C7D" w:rsidR="00062C7D" w:rsidRPr="00BB3B79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BB3B79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BB3B79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BB3B79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BB3B79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BB3B79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046A3E" w:rsidP="00062C7D" w:rsidR="00062C7D" w:rsidRPr="00BB3B79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u w:val="single"/>
        </w:rPr>
      </w:pPr>
      <w:r>
        <w:rPr>
          <w:rFonts w:cs="Times New Roman" w:eastAsia="Calibri" w:hAnsi="Times New Roman" w:ascii="Times New Roman"/>
          <w:sz w:val="24"/>
          <w:u w:val="single"/>
        </w:rPr>
        <w:t>5</w:t>
      </w:r>
      <w:r w:rsidR="00062C7D" w:rsidRPr="00BB3B79">
        <w:rPr>
          <w:rFonts w:cs="Times New Roman" w:eastAsia="Calibri" w:hAnsi="Times New Roman" w:ascii="Times New Roman"/>
          <w:sz w:val="24"/>
          <w:u w:val="single"/>
        </w:rPr>
        <w:t>.REDOVNO IZVJEŠĆE</w:t>
      </w:r>
    </w:p>
    <w:p w:rsidRDefault="00062C7D" w:rsidP="00062C7D" w:rsidR="00062C7D" w:rsidRPr="000B450F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0B450F">
        <w:rPr>
          <w:rFonts w:cs="Times New Roman" w:eastAsia="Calibri" w:hAnsi="Times New Roman" w:ascii="Times New Roman"/>
          <w:sz w:val="24"/>
        </w:rPr>
        <w:t>ž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0B450F">
        <w:rPr>
          <w:rFonts w:cs="Times New Roman" w:eastAsia="Calibri" w:hAnsi="Times New Roman" w:ascii="Times New Roman"/>
          <w:sz w:val="24"/>
        </w:rPr>
        <w:t xml:space="preserve"> 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0B450F">
        <w:rPr>
          <w:rFonts w:cs="Times New Roman" w:eastAsia="Calibri" w:hAnsi="Times New Roman" w:ascii="Times New Roman"/>
          <w:sz w:val="24"/>
        </w:rPr>
        <w:t>č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0B450F">
        <w:rPr>
          <w:rFonts w:cs="Times New Roman" w:eastAsia="Calibri" w:hAnsi="Times New Roman" w:ascii="Times New Roman"/>
          <w:sz w:val="24"/>
        </w:rPr>
        <w:t xml:space="preserve"> 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0B450F">
        <w:rPr>
          <w:rFonts w:cs="Times New Roman" w:eastAsia="Calibri" w:hAnsi="Times New Roman" w:ascii="Times New Roman"/>
          <w:sz w:val="24"/>
        </w:rPr>
        <w:t xml:space="preserve"> ___</w:t>
      </w:r>
      <w:r w:rsidRPr="000B450F">
        <w:rPr>
          <w:rFonts w:cs="Times New Roman" w:eastAsia="Calibri" w:hAnsi="Times New Roman" w:ascii="Times New Roman"/>
          <w:sz w:val="24"/>
          <w:u w:val="single"/>
        </w:rPr>
        <w:t>Trgovački sud u Zagrebu</w:t>
      </w:r>
      <w:r w:rsidRPr="000B450F">
        <w:rPr>
          <w:rFonts w:cs="Times New Roman" w:eastAsia="Calibri" w:hAnsi="Times New Roman" w:ascii="Times New Roman"/>
          <w:sz w:val="24"/>
        </w:rPr>
        <w:t>__________________</w:t>
      </w:r>
    </w:p>
    <w:p w:rsidRDefault="00062C7D" w:rsidP="00062C7D" w:rsidR="00062C7D" w:rsidRPr="000B450F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___7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St-3122/2016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062C7D" w:rsidP="00062C7D" w:rsidR="00062C7D" w:rsidRPr="000B450F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__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MTKT-PROJEKT d.o.o. za trgovinu i građenje u stečaju, Vladimira Nazora 9, 10370 Dugo Selo, OIB:57060064605.                       </w:t>
      </w:r>
    </w:p>
    <w:p w:rsidRDefault="00062C7D" w:rsidP="00062C7D" w:rsidR="00062C7D" w:rsidRPr="000B450F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062C7D" w:rsidP="00062C7D" w:rsidR="00062C7D" w:rsidRPr="000B450F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</w:t>
      </w:r>
      <w:r w:rsidR="00285D78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       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__</w:t>
      </w:r>
      <w:r w:rsidRPr="00DF6F6D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</w:t>
      </w:r>
      <w:r w:rsidR="00285D78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veljače  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</w:t>
      </w:r>
      <w:r w:rsidR="00285D78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     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DO</w:t>
      </w:r>
      <w:r w:rsidR="00285D78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      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_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1.</w:t>
      </w:r>
      <w:r w:rsidR="00285D78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svibnja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9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.god</w:t>
      </w:r>
      <w:r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ine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062C7D" w:rsidP="00062C7D" w:rsidR="00062C7D" w:rsidRPr="00BB3B79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062C7D" w:rsidP="00062C7D" w:rsidR="00062C7D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285D78" w:rsidP="00062C7D" w:rsidR="00285D78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Pristupio ročištu za određivanje vrijednosti nekretnina održanom 21.ožujka 2019.godine,</w:t>
      </w:r>
    </w:p>
    <w:p w:rsidRDefault="00285D78" w:rsidP="00062C7D" w:rsidR="00285D78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FINA-i dostavio dokumentaciju za prodaju putem elektroničke javne dražbe</w:t>
      </w:r>
    </w:p>
    <w:p w:rsidRDefault="00FA0A0F" w:rsidP="00062C7D" w:rsidR="00FA0A0F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FINA-i uplatio predujam za pokriće troškova prodaje elektroničkom javnom dražbom.</w:t>
      </w:r>
    </w:p>
    <w:p w:rsidRDefault="00062C7D" w:rsidP="00062C7D" w:rsidR="00062C7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062C7D" w:rsidP="00062C7D" w:rsidR="00062C7D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062C7D" w:rsidP="00062C7D" w:rsidR="00062C7D" w:rsidRPr="00C774ED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C774ED">
        <w:rPr>
          <w:rFonts w:cs="Arial" w:eastAsia="Calibri" w:hAnsi="Arial" w:ascii="Arial"/>
          <w:sz w:val="24"/>
          <w:szCs w:val="24"/>
        </w:rPr>
        <w:t>Nekretnine</w:t>
      </w:r>
    </w:p>
    <w:p w:rsidRDefault="00062C7D" w:rsidP="00062C7D" w:rsidR="00062C7D" w:rsidRPr="00C774ED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Ovaj stečajni dužnik vlasnik </w:t>
      </w: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>je sljedeć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ih</w:t>
      </w: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 xml:space="preserve">  nekretnin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a</w:t>
      </w: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>:</w:t>
      </w:r>
    </w:p>
    <w:p w:rsidRDefault="00062C7D" w:rsidP="00062C7D" w:rsidR="00062C7D" w:rsidRPr="00C774E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8"/>
          <w:lang w:eastAsia="hr-HR"/>
        </w:rPr>
      </w:pP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>Upisano u zemljišne knjige Općinskog građanskog suda u Zagrebu, Zemljišnoknjižni odjel Dugo Selo, k.o. Dugo Selo II, zk.ul.2567, k.č.866/2, zgrada mješovite uporabe  br. 1a, 1b i 1c Ulica Josipa Predavca površine 407m</w:t>
      </w:r>
      <w:r w:rsidRPr="00C774ED">
        <w:rPr>
          <w:rFonts w:cs="Arial" w:eastAsia="Times New Roman" w:hAnsi="Arial" w:ascii="Arial"/>
          <w:sz w:val="24"/>
          <w:szCs w:val="28"/>
          <w:lang w:eastAsia="hr-HR"/>
        </w:rPr>
        <w:t>²</w:t>
      </w: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 xml:space="preserve"> i dvorište Ulica Josipa Predavca površine 536 m</w:t>
      </w:r>
      <w:r w:rsidRPr="00C774ED">
        <w:rPr>
          <w:rFonts w:cs="Arial" w:eastAsia="Times New Roman" w:hAnsi="Arial" w:ascii="Arial"/>
          <w:sz w:val="24"/>
          <w:szCs w:val="28"/>
          <w:lang w:eastAsia="hr-HR"/>
        </w:rPr>
        <w:t>²:</w:t>
      </w:r>
    </w:p>
    <w:p w:rsidRDefault="00062C7D" w:rsidP="00062C7D" w:rsidR="00062C7D" w:rsidRPr="00C774ED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1. Suvlasnički dio: 142/10000 ETAŽNO VLASNIŠTVO (E-1) povezano s vlasništvom posebnog dijela - parkirališno mjesto oznake PGM1 u podrumu podne površine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14,50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2. Suvlasnički dio: 132/10000 ETAŽNO VLASNIŠTVO (E-2) povezano s vlasništvom posebnog dijela - parkirališno mjesto oznake PGM2 u podrumu podne površine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13,48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3. Suvlasnički dio: 127/10000 ETAŽNO VLASNIŠTVO (E-3) povezano s vlasništvom posebnog dijela - parkirališno mjesto oznake PGM3 u podrumu podne površine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12,88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4. Suvlasnički dio: 125/10000 ETAŽNO VLASNIŠTVO (E-4) povezano s vlasništvom posebnog dijela - parkirališno mjesto oznake PGM4 u podrumu podne površine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12,76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5. Suvlasnički dio: 119/10000 ETAŽNO VLASNIŠTVO (E-5) povezano s vlasništvom posebnog dijela - parkirališno mjesto oznake PGM5 u podrumu podne površine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12,13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6. Suvlasnički dio: 113/10000 ETAŽNO VLASNIŠTVO (E-6) povezano s vlasništvom posebnog dijela - parkirališno mjesto oznake PGM6 u podrumu podne površine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11,50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lastRenderedPageBreak/>
        <w:t>7. Suvlasnički dio: 117/10000 ETAŽNO VLASNIŠTVO (E-7) povezano s vlasništvom posebnog dijela - parkirališno mjesto oznake PGM7 u podrumu podne površine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11,97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8. Suvlasnički dio: 113/10000 ETAŽNO VLASNIŠTVO (E-8) povezano s vlasništvom posebnog dijela - parkirališno mjesto oznake PGM8 u podrumu podne površine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11,53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9. Suvlasnički dio: 118/10000 ETAŽNO VLASNIŠTVO (E-9) povezano s vlasništvom posebnog dijela - parkirališno mjesto oznake PGM9 u podrumu podne površine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12,00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10. Suvlasnički dio: 125/10000 ETAŽNO VLASNIŠTVO (E-10) povezano s vlasništvom posebnog dijela - parkirališno mjesto oznake PGM10 u podrumu podne površine 12,72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11. Suvlasnički dio: 118/10000 ETAŽNO VLASNIŠTVO (E-11) povezano s vlasništvom posebnog dijela - parkirališno mjesto oznake PGM11 u podrumu podne površine 12,00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12. Suvlasnički dio: 118/10000 ETAŽNO VLASNIŠTVO (E-12) povezano s vlasništvom posebnog dijela - parkirališno mjesto oznake PGM12 u podrumu podne površine 12,00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13. Suvlasnički dio: 135/10000 ETAŽNO VLASNIŠTVO (E-13) povezano s vlasništvom posebnog dijela - parkirališno mjesto oznake PGM13 u podrumu podne površine 13,81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14. Suvlasnički dio: 1622/10000 ETAŽNO VLASNIŠTVO (E-14) povezano s vlasništvom posebnog dijela - poslovni prostor bez namjene oznake PP1 u prizemlju podne površine 166,11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15. Suvlasnički dio: 1018/10000 ETAŽNO VLASNIŠTVO (E-15) povezano s vlasništvom posebnog dijela - poslovni prostor bez namjene oznake PP2 u prizemlju podne površine 104,03 m2.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062C7D" w:rsidP="00062C7D" w:rsidR="00062C7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>Na svim sulasničkim dijelovima zabilježeno je pravo zaloga:</w:t>
      </w:r>
    </w:p>
    <w:p w:rsidRDefault="00062C7D" w:rsidP="00062C7D" w:rsidR="00062C7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sz w:val="24"/>
          <w:szCs w:val="24"/>
        </w:rPr>
      </w:pPr>
      <w:r w:rsidRPr="00C774ED">
        <w:rPr>
          <w:rFonts w:cs="Arial" w:hAnsi="Arial" w:ascii="Arial"/>
          <w:sz w:val="24"/>
          <w:szCs w:val="24"/>
        </w:rPr>
        <w:t>Na temelju Očitovanja od 16. prosinca 2009.g. sastavljenog po Javnom bilježniku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sz w:val="24"/>
          <w:szCs w:val="24"/>
        </w:rPr>
      </w:pPr>
      <w:r w:rsidRPr="00C774ED">
        <w:rPr>
          <w:rFonts w:cs="Arial" w:hAnsi="Arial" w:ascii="Arial"/>
          <w:sz w:val="24"/>
          <w:szCs w:val="24"/>
        </w:rPr>
        <w:t>Tomislavu Matijević iz Zagreba, Ilica 191 A, posl. broj: OU-331/09 i Ugovora o kreditu, Račun broj: 800.227 od 30. studenoga 2009.g., uknjiženo je pravo zaloga na nekretnine u A za jednokratno iskoristiv kredit u iznosu od 250.000,00 EUR, s kamatom i ostalim uvjetima prema Ugovoru, sve za korist: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/>
          <w:bCs/>
          <w:sz w:val="24"/>
          <w:szCs w:val="24"/>
        </w:rPr>
      </w:pPr>
      <w:r w:rsidRPr="00C774ED">
        <w:rPr>
          <w:rFonts w:cs="Arial" w:hAnsi="Arial" w:ascii="Arial"/>
          <w:b/>
          <w:bCs/>
          <w:sz w:val="24"/>
          <w:szCs w:val="24"/>
        </w:rPr>
        <w:t>RAIFFEISENBANK NESTELBACH-ST.MAREIN-LASSNITZHÖHE EGEN, OIB: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/>
          <w:bCs/>
          <w:sz w:val="24"/>
          <w:szCs w:val="24"/>
        </w:rPr>
      </w:pPr>
      <w:r w:rsidRPr="00C774ED">
        <w:rPr>
          <w:rFonts w:cs="Arial" w:hAnsi="Arial" w:ascii="Arial"/>
          <w:b/>
          <w:bCs/>
          <w:sz w:val="24"/>
          <w:szCs w:val="24"/>
        </w:rPr>
        <w:t>07399269485, DORFPLATZ 2, 8302 NESTELBACH BEI GRAZ, STEIERMARK</w:t>
      </w:r>
    </w:p>
    <w:p w:rsidRDefault="00062C7D" w:rsidP="00062C7D" w:rsidR="00062C7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062C7D" w:rsidP="00062C7D" w:rsidR="00062C7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 xml:space="preserve">Na sulasničkim dijelovima E-14 i E-15 kao drugoupisani razlučni vjerovnik, zabilježeno je pravo zaloga: </w:t>
      </w:r>
    </w:p>
    <w:p w:rsidRDefault="00062C7D" w:rsidP="00062C7D" w:rsidR="00062C7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sz w:val="24"/>
          <w:szCs w:val="24"/>
        </w:rPr>
      </w:pPr>
      <w:r w:rsidRPr="00C774ED">
        <w:rPr>
          <w:rFonts w:cs="Arial" w:hAnsi="Arial" w:ascii="Arial"/>
          <w:sz w:val="24"/>
          <w:szCs w:val="24"/>
        </w:rPr>
        <w:t>Na temelju rješenja Općinskog suda u Sesvetama o osiguranju prisilnom uknjižbom</w:t>
      </w:r>
    </w:p>
    <w:p w:rsidRDefault="00062C7D" w:rsidP="00062C7D" w:rsidR="00062C7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sz w:val="24"/>
          <w:szCs w:val="24"/>
        </w:rPr>
      </w:pPr>
      <w:r w:rsidRPr="00C774ED">
        <w:rPr>
          <w:rFonts w:cs="Arial" w:hAnsi="Arial" w:ascii="Arial"/>
          <w:sz w:val="24"/>
          <w:szCs w:val="24"/>
        </w:rPr>
        <w:t>založnog prava br. Ovr-1089/14 od 24. studeni 2014. godine, uknjiženo je pravo zaloga radi osiguranja novčane tražbine s osnova poreznog duga u iznosu od 109.688,32 kn (glavnica 103.396,86 kn i kamate 6.291,46 kn) sa zateznim kamatama koje na glavnicu teku od 25. travnja 2014. godine do isplate po po stopi koja se za svako polugodište određuje uvećanjem eskontne stope HNB-a koja je vrijedila zadnjeg dana polugodištakoje je prethodilo tekućem polugodištu za pet postotnih poena, za korist predlagateljaosiguranja:</w:t>
      </w:r>
    </w:p>
    <w:p w:rsidRDefault="00062C7D" w:rsidP="00062C7D" w:rsidR="00062C7D" w:rsidRPr="00C774E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C774ED">
        <w:rPr>
          <w:rFonts w:cs="Arial" w:hAnsi="Arial" w:ascii="Arial"/>
          <w:b/>
          <w:bCs/>
          <w:sz w:val="24"/>
          <w:szCs w:val="24"/>
        </w:rPr>
        <w:t>REPUBLIKA HRVATSKA, OIB: 52634238587</w:t>
      </w:r>
    </w:p>
    <w:p w:rsidRDefault="00062C7D" w:rsidP="00062C7D" w:rsidR="00062C7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062C7D" w:rsidP="00062C7D" w:rsidR="00062C7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 xml:space="preserve">Nekretnine E-1 do E-13 (parkirališna mjesta) u podrumu, sada su u naravi pretvorena u dvoranu, jer su ulazna vrata zazidana, a u podrumu je napravljena dvorana s podlogom za trening 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taekwondoaša</w:t>
      </w: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>.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 </w:t>
      </w:r>
    </w:p>
    <w:p w:rsidRDefault="00062C7D" w:rsidP="00062C7D" w:rsidR="00062C7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Radi smanjenja troškova stečajnog postupka, navedeni prostor je iznajmljen </w:t>
      </w:r>
      <w:r>
        <w:rPr>
          <w:rFonts w:cs="Arial" w:eastAsia="Times New Roman" w:hAnsi="Arial" w:ascii="Arial"/>
          <w:sz w:val="24"/>
          <w:szCs w:val="24"/>
          <w:lang w:eastAsia="hr-HR"/>
        </w:rPr>
        <w:t>TAEKWONDO KLUBU „DUGO SELO“ do prodaje objekta, a najdulje na rok od 6 mjeseci, za iznos 2.000,00 kn mjesečno s PDV-om.</w:t>
      </w:r>
    </w:p>
    <w:p w:rsidRDefault="00062C7D" w:rsidP="00062C7D" w:rsidR="00062C7D" w:rsidRPr="00FF2279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Kako se u navedeni prostor </w:t>
      </w:r>
      <w:r w:rsidRPr="00FF2279">
        <w:rPr>
          <w:rFonts w:cs="Times New Roman" w:eastAsia="Times New Roman" w:hAnsi="Arial" w:ascii="Arial"/>
          <w:sz w:val="24"/>
          <w:szCs w:val="24"/>
          <w:lang w:eastAsia="hr-HR"/>
        </w:rPr>
        <w:t xml:space="preserve">sada ulazi stepenicama iz poslovnog prostora 1  </w:t>
      </w:r>
      <w:r>
        <w:rPr>
          <w:rFonts w:cs="Times New Roman" w:eastAsia="Times New Roman" w:hAnsi="Arial" w:ascii="Arial"/>
          <w:sz w:val="24"/>
          <w:szCs w:val="24"/>
          <w:lang w:eastAsia="hr-HR"/>
        </w:rPr>
        <w:t xml:space="preserve">(PP1), odnosno iz E-14, stečajni upravitelj 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t>predl</w:t>
      </w:r>
      <w:r>
        <w:rPr>
          <w:rFonts w:cs="Arial" w:eastAsia="Times New Roman" w:hAnsi="Arial" w:ascii="Arial"/>
          <w:sz w:val="24"/>
          <w:szCs w:val="24"/>
          <w:lang w:eastAsia="hr-HR"/>
        </w:rPr>
        <w:t>ožio je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t xml:space="preserve"> unovčenje nekretnina od E-1 do 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br/>
        <w:t>E-14, kao jedne cjeline, po procijenjenoj vrijednosti sudskog vještaka 292.100,00 €, što iznosi 2.172.078,68 kn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na što se plaća 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t>PDV</w:t>
      </w:r>
      <w:r>
        <w:rPr>
          <w:rFonts w:cs="Arial" w:eastAsia="Times New Roman" w:hAnsi="Arial" w:ascii="Arial"/>
          <w:sz w:val="24"/>
          <w:szCs w:val="24"/>
          <w:lang w:eastAsia="hr-HR"/>
        </w:rPr>
        <w:t>, pa prema navedenome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t>, procijenjena vrijednost nekretnina od E-1 do E-14, kao jedne cjeline, s uključenim PDV-om iznosi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FF2279">
        <w:rPr>
          <w:rFonts w:cs="Arial" w:eastAsia="Times New Roman" w:hAnsi="Arial" w:ascii="Arial"/>
          <w:b/>
          <w:sz w:val="24"/>
          <w:szCs w:val="24"/>
          <w:lang w:eastAsia="hr-HR"/>
        </w:rPr>
        <w:t>2.715.098,35 kn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062C7D" w:rsidP="00062C7D" w:rsidR="00062C7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062C7D" w:rsidP="00062C7D" w:rsidR="00062C7D" w:rsidRPr="00FF2279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FF2279">
        <w:rPr>
          <w:rFonts w:cs="Arial" w:hAnsi="Arial" w:ascii="Arial"/>
          <w:bCs/>
          <w:sz w:val="24"/>
          <w:szCs w:val="24"/>
        </w:rPr>
        <w:t>Nekretnina (E-15) povezano s vlasništvom posebnog dijela - poslovni prostor bez namjene oznake PP2 u prizemlju podne površine 104,03 m2, procijenjena je na iznos 88.450,00 €, što iznosi 657.721,18 kn, te pripadajući iznos PDV-a 164.430,30 kn.</w:t>
      </w:r>
    </w:p>
    <w:p w:rsidRDefault="00062C7D" w:rsidP="00062C7D" w:rsidR="00062C7D" w:rsidRPr="00FF2279">
      <w:pPr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FF2279">
        <w:rPr>
          <w:rFonts w:cs="Arial" w:eastAsia="Times New Roman" w:hAnsi="Arial" w:ascii="Arial"/>
          <w:sz w:val="24"/>
          <w:szCs w:val="24"/>
          <w:lang w:eastAsia="hr-HR"/>
        </w:rPr>
        <w:t>Dakle, procijenjena vrijednost nekretnine E-15, s uključenim PDV-om iznos</w:t>
      </w:r>
      <w:r>
        <w:rPr>
          <w:rFonts w:cs="Arial" w:eastAsia="Times New Roman" w:hAnsi="Arial" w:ascii="Arial"/>
          <w:sz w:val="24"/>
          <w:szCs w:val="24"/>
          <w:lang w:eastAsia="hr-HR"/>
        </w:rPr>
        <w:t>i</w:t>
      </w:r>
      <w:r w:rsidRPr="00FF227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                                   822.151,48 kn</w:t>
      </w:r>
      <w:r>
        <w:rPr>
          <w:rFonts w:cs="Arial" w:eastAsia="Times New Roman" w:hAnsi="Arial" w:ascii="Arial"/>
          <w:b/>
          <w:sz w:val="24"/>
          <w:szCs w:val="24"/>
          <w:lang w:eastAsia="hr-HR"/>
        </w:rPr>
        <w:t>.</w:t>
      </w:r>
    </w:p>
    <w:p w:rsidRDefault="00062C7D" w:rsidP="00062C7D" w:rsidR="00062C7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062C7D" w:rsidP="00062C7D" w:rsidR="00FA0A0F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Stečajni upravitelj dostavio je Sudu prijedlog za prodaju u stečajnom postupku i prijedlog za određivanja ročišta radi utvrđivanja vrijednosti nekretnine, te je </w:t>
      </w:r>
      <w:r w:rsidR="00FA0A0F">
        <w:rPr>
          <w:rFonts w:cs="Times New Roman" w:eastAsia="Times New Roman" w:hAnsi="Arial" w:ascii="Arial"/>
          <w:sz w:val="24"/>
          <w:szCs w:val="28"/>
          <w:lang w:eastAsia="hr-HR"/>
        </w:rPr>
        <w:t>21.ožujka 2019.godine održano ročište radi utvrđivanja vrijednosti nekretnine.</w:t>
      </w:r>
    </w:p>
    <w:p w:rsidRDefault="00FA0A0F" w:rsidP="00062C7D" w:rsidR="00FA0A0F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>Temeljem zaključaka o prodaji od 3.travnja 2019.godine, stečajni upravitelj izradio je Zahtjeve za prodaju nekretnina i dostavio FINA-i.</w:t>
      </w:r>
    </w:p>
    <w:p w:rsidRDefault="00062C7D" w:rsidP="00062C7D" w:rsidR="00062C7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062C7D" w:rsidP="00062C7D" w:rsidR="00062C7D" w:rsidRPr="00BB3B79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 xml:space="preserve">Financijsko izvješće o prihodima i </w:t>
      </w:r>
      <w:r>
        <w:rPr>
          <w:rFonts w:cs="Arial" w:eastAsia="Calibri" w:hAnsi="Arial" w:ascii="Arial"/>
          <w:sz w:val="24"/>
          <w:szCs w:val="24"/>
          <w:lang w:val="pl-PL"/>
        </w:rPr>
        <w:t>do sada plaćenim tr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>oškovima je u prilogu ovog izvješća.</w:t>
      </w:r>
    </w:p>
    <w:p w:rsidRDefault="00062C7D" w:rsidP="00062C7D" w:rsidR="00062C7D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Napominje se da u Financijskom izvješću nisu prikazani dospjeli, a neplaćeni troškovi, koji se sastoje od:</w:t>
      </w:r>
    </w:p>
    <w:p w:rsidRDefault="00062C7D" w:rsidP="00062C7D" w:rsidR="00062C7D" w:rsidRPr="00912B4A">
      <w:pPr>
        <w:numPr>
          <w:ilvl w:val="0"/>
          <w:numId w:val="3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912B4A">
        <w:rPr>
          <w:rFonts w:cs="Arial" w:eastAsia="Calibri" w:hAnsi="Arial" w:ascii="Arial"/>
          <w:sz w:val="24"/>
          <w:szCs w:val="24"/>
        </w:rPr>
        <w:t xml:space="preserve">trošak izrade pečata, ovjera potpisa jav.biljež; biljezi, </w:t>
      </w:r>
      <w:r w:rsidRPr="00912B4A">
        <w:rPr>
          <w:rFonts w:cs="Arial" w:eastAsia="Calibri" w:hAnsi="Arial" w:ascii="Arial"/>
          <w:sz w:val="24"/>
          <w:szCs w:val="24"/>
        </w:rPr>
        <w:br/>
        <w:t>poštarina, uredski materijal, telefon, preuzimanje</w:t>
      </w:r>
    </w:p>
    <w:p w:rsidRDefault="00062C7D" w:rsidP="00062C7D" w:rsidR="00062C7D" w:rsidRPr="00912B4A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912B4A">
        <w:rPr>
          <w:rFonts w:cs="Arial" w:eastAsia="Calibri" w:hAnsi="Arial" w:ascii="Arial"/>
          <w:sz w:val="24"/>
          <w:szCs w:val="24"/>
        </w:rPr>
        <w:t>očevidnika FINA, korištenje vl.auta</w:t>
      </w:r>
      <w:r>
        <w:rPr>
          <w:rFonts w:cs="Arial" w:eastAsia="Calibri" w:hAnsi="Arial" w:ascii="Arial"/>
          <w:sz w:val="24"/>
          <w:szCs w:val="24"/>
        </w:rPr>
        <w:t xml:space="preserve">, fotokopiranje </w:t>
      </w:r>
      <w:r w:rsidRPr="00912B4A">
        <w:rPr>
          <w:rFonts w:cs="Arial" w:eastAsia="Calibri" w:hAnsi="Arial" w:ascii="Arial"/>
          <w:sz w:val="24"/>
          <w:szCs w:val="24"/>
        </w:rPr>
        <w:t xml:space="preserve">.............    </w:t>
      </w:r>
      <w:r>
        <w:rPr>
          <w:rFonts w:cs="Arial" w:eastAsia="Calibri" w:hAnsi="Arial" w:ascii="Arial"/>
          <w:sz w:val="24"/>
          <w:szCs w:val="24"/>
        </w:rPr>
        <w:t xml:space="preserve"> </w:t>
      </w:r>
      <w:r w:rsidR="006E2913">
        <w:rPr>
          <w:rFonts w:cs="Arial" w:eastAsia="Calibri" w:hAnsi="Arial" w:ascii="Arial"/>
          <w:sz w:val="24"/>
          <w:szCs w:val="24"/>
        </w:rPr>
        <w:t>2.039,97</w:t>
      </w:r>
      <w:r w:rsidRPr="00912B4A">
        <w:rPr>
          <w:rFonts w:cs="Arial" w:eastAsia="Calibri" w:hAnsi="Arial" w:ascii="Arial"/>
          <w:sz w:val="24"/>
          <w:szCs w:val="24"/>
        </w:rPr>
        <w:t xml:space="preserve"> kn</w:t>
      </w:r>
    </w:p>
    <w:p w:rsidRDefault="00062C7D" w:rsidP="00062C7D" w:rsidR="00062C7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912B4A">
        <w:rPr>
          <w:rFonts w:cs="Arial" w:eastAsia="Calibri" w:hAnsi="Arial" w:ascii="Arial"/>
          <w:sz w:val="24"/>
          <w:szCs w:val="24"/>
        </w:rPr>
        <w:t xml:space="preserve">          -     knjigovodstvo (</w:t>
      </w:r>
      <w:r>
        <w:rPr>
          <w:rFonts w:cs="Arial" w:eastAsia="Calibri" w:hAnsi="Arial" w:ascii="Arial"/>
          <w:sz w:val="24"/>
          <w:szCs w:val="24"/>
        </w:rPr>
        <w:t>IV</w:t>
      </w:r>
      <w:r w:rsidRPr="00912B4A">
        <w:rPr>
          <w:rFonts w:cs="Arial" w:eastAsia="Calibri" w:hAnsi="Arial" w:ascii="Arial"/>
          <w:sz w:val="24"/>
          <w:szCs w:val="24"/>
        </w:rPr>
        <w:t>.mj./1</w:t>
      </w:r>
      <w:r>
        <w:rPr>
          <w:rFonts w:cs="Arial" w:eastAsia="Calibri" w:hAnsi="Arial" w:ascii="Arial"/>
          <w:sz w:val="24"/>
          <w:szCs w:val="24"/>
        </w:rPr>
        <w:t>8</w:t>
      </w:r>
      <w:r w:rsidRPr="007D28E2">
        <w:rPr>
          <w:rFonts w:cs="Arial" w:eastAsia="Calibri" w:hAnsi="Arial" w:ascii="Arial"/>
          <w:sz w:val="24"/>
          <w:szCs w:val="24"/>
        </w:rPr>
        <w:t xml:space="preserve">. – </w:t>
      </w:r>
      <w:r>
        <w:rPr>
          <w:rFonts w:cs="Arial" w:eastAsia="Calibri" w:hAnsi="Arial" w:ascii="Arial"/>
          <w:sz w:val="24"/>
          <w:szCs w:val="24"/>
        </w:rPr>
        <w:t>I</w:t>
      </w:r>
      <w:r w:rsidRPr="007D28E2">
        <w:rPr>
          <w:rFonts w:cs="Arial" w:eastAsia="Calibri" w:hAnsi="Arial" w:ascii="Arial"/>
          <w:sz w:val="24"/>
          <w:szCs w:val="24"/>
        </w:rPr>
        <w:t>.mj./1</w:t>
      </w:r>
      <w:r>
        <w:rPr>
          <w:rFonts w:cs="Arial" w:eastAsia="Calibri" w:hAnsi="Arial" w:ascii="Arial"/>
          <w:sz w:val="24"/>
          <w:szCs w:val="24"/>
        </w:rPr>
        <w:t>9</w:t>
      </w:r>
      <w:r w:rsidRPr="00912B4A">
        <w:rPr>
          <w:rFonts w:cs="Arial" w:eastAsia="Calibri" w:hAnsi="Arial" w:ascii="Arial"/>
          <w:sz w:val="24"/>
          <w:szCs w:val="24"/>
        </w:rPr>
        <w:t>)+PDV</w:t>
      </w:r>
      <w:r w:rsidRPr="007D28E2">
        <w:rPr>
          <w:rFonts w:cs="Arial" w:eastAsia="Calibri" w:hAnsi="Arial" w:ascii="Arial"/>
          <w:sz w:val="24"/>
          <w:szCs w:val="24"/>
        </w:rPr>
        <w:t xml:space="preserve"> </w:t>
      </w:r>
      <w:r>
        <w:rPr>
          <w:rFonts w:cs="Arial" w:eastAsia="Calibri" w:hAnsi="Arial" w:ascii="Arial"/>
          <w:sz w:val="24"/>
          <w:szCs w:val="24"/>
        </w:rPr>
        <w:t>..........................  1</w:t>
      </w:r>
      <w:r w:rsidR="006E2913">
        <w:rPr>
          <w:rFonts w:cs="Arial" w:eastAsia="Calibri" w:hAnsi="Arial" w:ascii="Arial"/>
          <w:sz w:val="24"/>
          <w:szCs w:val="24"/>
        </w:rPr>
        <w:t>6.250</w:t>
      </w:r>
      <w:r w:rsidRPr="00912B4A">
        <w:rPr>
          <w:rFonts w:cs="Arial" w:eastAsia="Calibri" w:hAnsi="Arial" w:ascii="Arial"/>
          <w:sz w:val="24"/>
          <w:szCs w:val="24"/>
        </w:rPr>
        <w:t xml:space="preserve">,00 kn </w:t>
      </w:r>
    </w:p>
    <w:p w:rsidRDefault="00062C7D" w:rsidP="00062C7D" w:rsidR="00062C7D">
      <w:p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ab/>
        <w:t xml:space="preserve">-    </w:t>
      </w:r>
      <w:r w:rsidRPr="007D28E2">
        <w:rPr>
          <w:rFonts w:cs="Arial" w:eastAsia="Calibri" w:hAnsi="Arial" w:ascii="Arial"/>
          <w:sz w:val="24"/>
          <w:szCs w:val="24"/>
          <w:u w:val="single"/>
        </w:rPr>
        <w:t>d</w:t>
      </w:r>
      <w:r w:rsidRPr="007D28E2">
        <w:rPr>
          <w:rFonts w:cs="Arial" w:hAnsi="Arial" w:ascii="Arial"/>
          <w:sz w:val="24"/>
          <w:szCs w:val="24"/>
          <w:u w:val="single"/>
        </w:rPr>
        <w:t>ospjeli troškovi (plaće za otkazni rok) ...............................  10.144,97 kn</w:t>
      </w:r>
    </w:p>
    <w:p w:rsidRDefault="00062C7D" w:rsidP="00062C7D" w:rsidR="00062C7D">
      <w:pPr>
        <w:spacing w:lineRule="auto" w:line="240" w:after="80"/>
        <w:ind w:left="36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2</w:t>
      </w:r>
      <w:r w:rsidR="006E2913">
        <w:rPr>
          <w:rFonts w:cs="Arial" w:hAnsi="Arial" w:ascii="Arial"/>
          <w:sz w:val="24"/>
          <w:szCs w:val="24"/>
        </w:rPr>
        <w:t>8.434,94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062C7D" w:rsidP="00062C7D" w:rsidR="00062C7D" w:rsidRPr="00BB3B79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062C7D" w:rsidP="00062C7D" w:rsidR="00062C7D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062C7D" w:rsidP="00062C7D" w:rsidR="00062C7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7D28E2">
        <w:rPr>
          <w:rFonts w:cs="Arial" w:eastAsia="Calibri" w:hAnsi="Arial" w:ascii="Arial"/>
          <w:sz w:val="24"/>
          <w:szCs w:val="24"/>
          <w:u w:val="single"/>
          <w:lang w:val="pl-PL"/>
        </w:rPr>
        <w:t>1</w:t>
      </w:r>
      <w:r w:rsidR="006E2913">
        <w:rPr>
          <w:rFonts w:cs="Arial" w:eastAsia="Calibri" w:hAnsi="Arial" w:ascii="Arial"/>
          <w:sz w:val="24"/>
          <w:szCs w:val="24"/>
          <w:u w:val="single"/>
          <w:lang w:val="pl-PL"/>
        </w:rPr>
        <w:t>. svibnja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</w:p>
    <w:p w:rsidRDefault="006E2913" w:rsidP="00062C7D" w:rsidR="00062C7D" w:rsidRPr="00BB3B79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u w:val="single"/>
          <w:lang w:val="pl-PL"/>
        </w:rPr>
        <w:t>1. kolovoza</w:t>
      </w:r>
      <w:r w:rsidR="00062C7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2019</w:t>
      </w:r>
      <w:r w:rsidR="00062C7D"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="00062C7D" w:rsidRPr="00BB3B79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062C7D" w:rsidP="00062C7D" w:rsidR="00062C7D" w:rsidRPr="00D2200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</w:t>
      </w:r>
      <w:r w:rsidR="006E2913">
        <w:rPr>
          <w:rFonts w:cs="Arial" w:eastAsia="Times New Roman" w:hAnsi="Arial" w:ascii="Arial"/>
          <w:sz w:val="24"/>
          <w:szCs w:val="24"/>
          <w:lang w:eastAsia="hr-HR"/>
        </w:rPr>
        <w:t>aćenje elektroničke javne dražbe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062C7D" w:rsidP="00062C7D" w:rsidR="00062C7D" w:rsidRPr="00BB3B79">
      <w:pPr>
        <w:spacing w:lineRule="auto" w:line="240" w:after="0"/>
        <w:ind w:left="72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062C7D" w:rsidP="00062C7D" w:rsidR="00062C7D" w:rsidRPr="00BB3B79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062C7D" w:rsidP="00062C7D" w:rsidR="00062C7D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062C7D" w:rsidP="00062C7D" w:rsidR="00062C7D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>___</w:t>
      </w:r>
      <w:r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Zagreb, </w:t>
      </w:r>
      <w:r w:rsidR="006E2913">
        <w:rPr>
          <w:rFonts w:cs="Arial" w:eastAsia="Calibri" w:hAnsi="Arial" w:ascii="Arial"/>
          <w:sz w:val="24"/>
          <w:szCs w:val="24"/>
          <w:u w:val="single"/>
          <w:lang w:val="pl-PL"/>
        </w:rPr>
        <w:t>1. svibanj</w:t>
      </w:r>
      <w:r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9</w:t>
      </w:r>
      <w:r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  <w:t>_</w:t>
      </w:r>
      <w:r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462239" w:rsidR="00462239"/>
    <w:sectPr w:rsidR="004622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1477A"/>
    <w:multiLevelType w:val="hybridMultilevel"/>
    <w:tmpl w:val="81064F20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E565E22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C7D"/>
    <w:rsid w:val="00046A3E"/>
    <w:rsid w:val="00062C7D"/>
    <w:rsid w:val="000C5493"/>
    <w:rsid w:val="00197905"/>
    <w:rsid w:val="00285D78"/>
    <w:rsid w:val="00462239"/>
    <w:rsid w:val="006E2913"/>
    <w:rsid w:val="00FA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2C7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62C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90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905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905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905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2C7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62C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90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905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905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905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6308</properties:Characters>
  <properties:Lines>140</properties:Lines>
  <properties:Paragraphs>68</properties:Paragraphs>
  <properties:TotalTime>32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2019-05-03T16:48:00Z</dcterms:created>
  <dc:creator>Josip</dc:creator>
  <cp:lastModifiedBy>Tanja Štraubert</cp:lastModifiedBy>
  <cp:lastPrinted>2019-05-06T14:43:00Z</cp:lastPrinted>
  <dcterms:modified xmlns:xsi="http://www.w3.org/2001/XMLSchema-instance" xsi:type="dcterms:W3CDTF">2019-05-09T07:24:00Z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St-3122/2016-47 / Podnesak - Izvješće stečajnog upravitelja (Obrazac 20-5.REDOVNO IZVJEŠĆE 1.2.-1.5.19. St-3122-16   MTKT-PROJEKT.docx)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