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4bfa42" w14:paraId="f4bfa42" w:rsidRDefault="00B446C5" w:rsidP="00B446C5" w:rsidR="00B446C5">
      <w:pPr>
        <w:jc w:val="both"/>
        <w15:collapsed w:val="false"/>
        <w:rPr>
          <w:sz w:val="24"/>
          <w:szCs w:val="24"/>
        </w:rPr>
      </w:pPr>
      <w:bookmarkStart w:name="_GoBack" w:id="0"/>
      <w:bookmarkEnd w:id="0"/>
    </w:p>
    <w:p w:rsidRDefault="00B446C5" w:rsidP="00B446C5" w:rsidR="00B446C5" w:rsidRPr="00B11660">
      <w:pPr>
        <w:jc w:val="both"/>
        <w:rPr>
          <w:sz w:val="24"/>
          <w:szCs w:val="24"/>
        </w:rPr>
      </w:pPr>
      <w:r w:rsidRPr="00B11660">
        <w:rPr>
          <w:noProof/>
        </w:rPr>
        <w:drawing>
          <wp:inline distR="0" distL="0" distB="0" distT="0">
            <wp:extent cy="828675" cx="619125"/>
            <wp:effectExtent b="9525"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28675" cx="619125"/>
                    </a:xfrm>
                    <a:prstGeom prst="rect">
                      <a:avLst/>
                    </a:prstGeom>
                    <a:noFill/>
                    <a:ln>
                      <a:noFill/>
                    </a:ln>
                  </pic:spPr>
                </pic:pic>
              </a:graphicData>
            </a:graphic>
          </wp:inline>
        </w:drawing>
      </w:r>
      <w:r w:rsidRPr="00B11660">
        <w:rPr>
          <w:b/>
          <w:sz w:val="24"/>
        </w:rPr>
        <w:tab/>
      </w:r>
      <w:r w:rsidRPr="00B11660">
        <w:rPr>
          <w:sz w:val="24"/>
        </w:rPr>
        <w:t xml:space="preserve"> </w:t>
      </w:r>
    </w:p>
    <w:tbl>
      <w:tblPr>
        <w:tblpPr w:tblpY="1" w:vertAnchor="text" w:rightFromText="180" w:leftFromText="180"/>
        <w:tblOverlap w:val="never"/>
        <w:tblW w:type="auto" w:w="0"/>
        <w:tblLook w:val="01E0" w:noVBand="0" w:noHBand="0" w:lastColumn="1" w:firstColumn="1" w:lastRow="1" w:firstRow="1"/>
      </w:tblPr>
      <w:tblGrid>
        <w:gridCol w:w="3060"/>
      </w:tblGrid>
      <w:tr w:rsidTr="00B446C5" w:rsidR="00B446C5" w:rsidRPr="00B11660">
        <w:tc>
          <w:tcPr>
            <w:tcW w:type="dxa" w:w="3060"/>
            <w:hideMark/>
          </w:tcPr>
          <w:p w:rsidRDefault="00B446C5" w:rsidR="00B446C5" w:rsidRPr="00B11660">
            <w:pPr>
              <w:pStyle w:val="Naslov2"/>
              <w:rPr>
                <w:b w:val="false"/>
                <w:bCs/>
                <w:sz w:val="24"/>
              </w:rPr>
            </w:pPr>
            <w:r w:rsidRPr="00B11660">
              <w:rPr>
                <w:b w:val="false"/>
                <w:bCs/>
                <w:sz w:val="24"/>
              </w:rPr>
              <w:t>REPUBLIKA HRVATSKA</w:t>
            </w:r>
          </w:p>
          <w:p w:rsidRDefault="00B446C5" w:rsidR="00B446C5" w:rsidRPr="00B11660">
            <w:pPr>
              <w:jc w:val="center"/>
              <w:rPr>
                <w:sz w:val="24"/>
                <w:szCs w:val="24"/>
              </w:rPr>
            </w:pPr>
            <w:r w:rsidRPr="00B11660">
              <w:rPr>
                <w:sz w:val="24"/>
                <w:szCs w:val="24"/>
              </w:rPr>
              <w:t>Trgovački sud u Zagrebu</w:t>
            </w:r>
          </w:p>
          <w:p w:rsidRDefault="00B446C5" w:rsidR="00B446C5" w:rsidRPr="00B11660">
            <w:pPr>
              <w:jc w:val="center"/>
              <w:rPr>
                <w:sz w:val="24"/>
                <w:szCs w:val="24"/>
              </w:rPr>
            </w:pPr>
            <w:r w:rsidRPr="00B11660">
              <w:rPr>
                <w:sz w:val="24"/>
                <w:szCs w:val="24"/>
              </w:rPr>
              <w:t>Zagreb, Amruševa 2/II</w:t>
            </w:r>
          </w:p>
        </w:tc>
      </w:tr>
    </w:tbl>
    <w:p w:rsidRDefault="00B446C5" w:rsidP="00B446C5" w:rsidR="00B446C5" w:rsidRPr="00B11660">
      <w:pPr>
        <w:rPr>
          <w:sz w:val="24"/>
          <w:szCs w:val="24"/>
        </w:rPr>
      </w:pPr>
      <w:r w:rsidRPr="00B11660">
        <w:rPr>
          <w:b/>
          <w:sz w:val="24"/>
        </w:rPr>
        <w:br w:clear="all" w:type="textWrapping"/>
      </w:r>
      <w:r w:rsidRPr="00B11660">
        <w:rPr>
          <w:b/>
          <w:sz w:val="24"/>
        </w:rPr>
        <w:tab/>
      </w:r>
      <w:r w:rsidRPr="00B11660">
        <w:rPr>
          <w:b/>
          <w:sz w:val="24"/>
        </w:rPr>
        <w:tab/>
      </w:r>
      <w:r w:rsidRPr="00B11660">
        <w:rPr>
          <w:b/>
          <w:sz w:val="24"/>
        </w:rPr>
        <w:tab/>
      </w:r>
      <w:r w:rsidRPr="00B11660">
        <w:rPr>
          <w:b/>
          <w:sz w:val="24"/>
        </w:rPr>
        <w:tab/>
      </w:r>
      <w:r w:rsidRPr="00B11660">
        <w:rPr>
          <w:b/>
          <w:sz w:val="24"/>
        </w:rPr>
        <w:tab/>
      </w:r>
      <w:r w:rsidRPr="00B11660">
        <w:rPr>
          <w:b/>
          <w:sz w:val="24"/>
        </w:rPr>
        <w:tab/>
      </w:r>
      <w:r w:rsidRPr="00B11660">
        <w:rPr>
          <w:b/>
          <w:sz w:val="24"/>
        </w:rPr>
        <w:tab/>
      </w:r>
      <w:r w:rsidRPr="00B11660">
        <w:rPr>
          <w:b/>
          <w:sz w:val="24"/>
        </w:rPr>
        <w:tab/>
      </w:r>
      <w:r w:rsidRPr="00B11660">
        <w:rPr>
          <w:b/>
          <w:sz w:val="24"/>
        </w:rPr>
        <w:tab/>
      </w:r>
      <w:r w:rsidRPr="00B11660">
        <w:rPr>
          <w:sz w:val="24"/>
          <w:szCs w:val="24"/>
        </w:rPr>
        <w:t xml:space="preserve">  </w:t>
      </w:r>
      <w:r w:rsidR="009F21F1" w:rsidRPr="00B11660">
        <w:rPr>
          <w:sz w:val="24"/>
          <w:szCs w:val="24"/>
        </w:rPr>
        <w:t>46</w:t>
      </w:r>
      <w:r w:rsidRPr="00B11660">
        <w:rPr>
          <w:sz w:val="24"/>
          <w:szCs w:val="24"/>
        </w:rPr>
        <w:t>. St-</w:t>
      </w:r>
      <w:r w:rsidR="009F21F1" w:rsidRPr="00B11660">
        <w:rPr>
          <w:sz w:val="24"/>
          <w:szCs w:val="24"/>
        </w:rPr>
        <w:t>2567</w:t>
      </w:r>
      <w:r w:rsidRPr="00B11660">
        <w:rPr>
          <w:sz w:val="24"/>
          <w:szCs w:val="24"/>
        </w:rPr>
        <w:t>/1</w:t>
      </w:r>
      <w:r w:rsidR="009F21F1" w:rsidRPr="00B11660">
        <w:rPr>
          <w:sz w:val="24"/>
          <w:szCs w:val="24"/>
        </w:rPr>
        <w:t>8</w:t>
      </w:r>
      <w:r w:rsidR="007975BF">
        <w:rPr>
          <w:sz w:val="24"/>
          <w:szCs w:val="24"/>
        </w:rPr>
        <w:t>-14</w:t>
      </w:r>
    </w:p>
    <w:p w:rsidRDefault="00B446C5" w:rsidP="00B446C5" w:rsidR="00B446C5" w:rsidRPr="00B11660">
      <w:pPr>
        <w:rPr>
          <w:sz w:val="24"/>
          <w:szCs w:val="24"/>
        </w:rPr>
      </w:pPr>
      <w:r w:rsidRPr="00B11660">
        <w:rPr>
          <w:b/>
          <w:sz w:val="24"/>
          <w:szCs w:val="24"/>
        </w:rPr>
        <w:tab/>
      </w:r>
      <w:r w:rsidRPr="00B11660">
        <w:rPr>
          <w:b/>
          <w:sz w:val="24"/>
          <w:szCs w:val="24"/>
        </w:rPr>
        <w:tab/>
      </w:r>
      <w:r w:rsidRPr="00B11660">
        <w:rPr>
          <w:sz w:val="24"/>
          <w:szCs w:val="24"/>
        </w:rPr>
        <w:tab/>
      </w:r>
      <w:r w:rsidRPr="00B11660">
        <w:rPr>
          <w:sz w:val="24"/>
          <w:szCs w:val="24"/>
        </w:rPr>
        <w:tab/>
      </w:r>
    </w:p>
    <w:p w:rsidRDefault="00B446C5" w:rsidP="00B446C5" w:rsidR="00B446C5" w:rsidRPr="00B11660">
      <w:pPr>
        <w:jc w:val="center"/>
        <w:rPr>
          <w:sz w:val="24"/>
          <w:szCs w:val="24"/>
        </w:rPr>
      </w:pPr>
      <w:r w:rsidRPr="00B11660">
        <w:rPr>
          <w:sz w:val="24"/>
          <w:szCs w:val="24"/>
        </w:rPr>
        <w:t>R E P U B L I K A   H R V A T S K A</w:t>
      </w:r>
    </w:p>
    <w:p w:rsidRDefault="00B446C5" w:rsidP="00B446C5" w:rsidR="00B446C5" w:rsidRPr="00B11660">
      <w:pPr>
        <w:ind w:left="2880"/>
        <w:jc w:val="right"/>
        <w:rPr>
          <w:sz w:val="24"/>
          <w:szCs w:val="24"/>
        </w:rPr>
      </w:pPr>
    </w:p>
    <w:p w:rsidRDefault="00B446C5" w:rsidP="00B446C5" w:rsidR="00B446C5" w:rsidRPr="00B11660">
      <w:pPr>
        <w:ind w:left="2880"/>
        <w:jc w:val="right"/>
        <w:rPr>
          <w:sz w:val="24"/>
          <w:szCs w:val="24"/>
        </w:rPr>
      </w:pPr>
      <w:r w:rsidRPr="00B11660">
        <w:rPr>
          <w:sz w:val="24"/>
          <w:szCs w:val="24"/>
        </w:rPr>
        <w:t xml:space="preserve">  R J E Š E NJ E </w:t>
      </w:r>
      <w:r w:rsidRPr="00B11660">
        <w:rPr>
          <w:sz w:val="24"/>
          <w:szCs w:val="24"/>
        </w:rPr>
        <w:tab/>
      </w:r>
      <w:r w:rsidRPr="00B11660">
        <w:rPr>
          <w:sz w:val="24"/>
          <w:szCs w:val="24"/>
        </w:rPr>
        <w:tab/>
      </w:r>
      <w:r w:rsidRPr="00B11660">
        <w:rPr>
          <w:sz w:val="24"/>
          <w:szCs w:val="24"/>
        </w:rPr>
        <w:tab/>
      </w:r>
      <w:r w:rsidRPr="00B11660">
        <w:rPr>
          <w:sz w:val="24"/>
          <w:szCs w:val="24"/>
        </w:rPr>
        <w:tab/>
      </w:r>
      <w:r w:rsidRPr="00B11660">
        <w:rPr>
          <w:sz w:val="24"/>
          <w:szCs w:val="24"/>
        </w:rPr>
        <w:tab/>
      </w:r>
    </w:p>
    <w:p w:rsidRDefault="009F21F1" w:rsidP="009F21F1" w:rsidR="009F21F1" w:rsidRPr="00B11660">
      <w:pPr>
        <w:jc w:val="both"/>
        <w:rPr>
          <w:sz w:val="24"/>
          <w:szCs w:val="24"/>
        </w:rPr>
      </w:pPr>
    </w:p>
    <w:p w:rsidRDefault="009F21F1" w:rsidP="009F21F1" w:rsidR="009F21F1" w:rsidRPr="00B11660">
      <w:pPr>
        <w:ind w:firstLine="708"/>
        <w:jc w:val="both"/>
        <w:rPr>
          <w:sz w:val="24"/>
          <w:szCs w:val="24"/>
        </w:rPr>
      </w:pPr>
      <w:r w:rsidRPr="00B11660">
        <w:rPr>
          <w:sz w:val="24"/>
          <w:szCs w:val="24"/>
        </w:rPr>
        <w:t xml:space="preserve">Trgovački sud u Zagrebu, po sutkinji Maji Praljak, u stečajnom predmetu u povodu prijedloga predlagatelja FINANCIJSKA AGENCIJA, RC Zagreb, Podružnica Zagreb, Trg svibanjskih žrtava 1995. 1, OIB: 85821130368, za otvaranje stečajnog postupka nad dužnikom NIVOMA d.o.o., </w:t>
      </w:r>
      <w:r w:rsidRPr="00B11660">
        <w:rPr>
          <w:sz w:val="24"/>
          <w:szCs w:val="24"/>
          <w:lang w:val="pt-BR"/>
        </w:rPr>
        <w:t>OIB: 08356942497, Zagreb, Jagodnjak 10, 22. siječnja</w:t>
      </w:r>
      <w:r w:rsidRPr="00B11660">
        <w:rPr>
          <w:sz w:val="24"/>
          <w:szCs w:val="24"/>
        </w:rPr>
        <w:t xml:space="preserve"> 2019.,</w:t>
      </w:r>
    </w:p>
    <w:p w:rsidRDefault="00B446C5" w:rsidP="00B446C5" w:rsidR="00B446C5" w:rsidRPr="00B11660">
      <w:pPr>
        <w:jc w:val="center"/>
        <w:rPr>
          <w:sz w:val="24"/>
        </w:rPr>
      </w:pPr>
    </w:p>
    <w:p w:rsidRDefault="00B446C5" w:rsidP="00B446C5" w:rsidR="00B446C5" w:rsidRPr="00B11660">
      <w:pPr>
        <w:jc w:val="center"/>
        <w:rPr>
          <w:sz w:val="24"/>
        </w:rPr>
      </w:pPr>
      <w:r w:rsidRPr="00B11660">
        <w:rPr>
          <w:sz w:val="24"/>
        </w:rPr>
        <w:t xml:space="preserve">r i j e š i o    j e </w:t>
      </w:r>
    </w:p>
    <w:p w:rsidRDefault="00B446C5" w:rsidP="00B446C5" w:rsidR="00B446C5" w:rsidRPr="00B11660">
      <w:pPr>
        <w:jc w:val="center"/>
        <w:rPr>
          <w:b/>
          <w:sz w:val="24"/>
        </w:rPr>
      </w:pPr>
    </w:p>
    <w:p w:rsidRDefault="00B446C5" w:rsidP="00B446C5" w:rsidR="00B446C5" w:rsidRPr="00B11660">
      <w:pPr>
        <w:pStyle w:val="Odlomakpopisa"/>
        <w:numPr>
          <w:ilvl w:val="0"/>
          <w:numId w:val="1"/>
        </w:numPr>
        <w:jc w:val="both"/>
      </w:pPr>
      <w:r w:rsidRPr="00B11660">
        <w:t xml:space="preserve">Privremenim stečajnim upraviteljem dužnika </w:t>
      </w:r>
      <w:r w:rsidR="003F38B8" w:rsidRPr="00B11660">
        <w:t xml:space="preserve">NIVOMA d.o.o., </w:t>
      </w:r>
      <w:r w:rsidR="003F38B8" w:rsidRPr="00B11660">
        <w:rPr>
          <w:lang w:val="pt-BR"/>
        </w:rPr>
        <w:t>OIB: 08356942497, Zagreb, Jagodnjak 10</w:t>
      </w:r>
      <w:r w:rsidRPr="00B11660">
        <w:t xml:space="preserve">, imenuje se </w:t>
      </w:r>
      <w:r w:rsidR="00B11660" w:rsidRPr="00B11660">
        <w:t xml:space="preserve">Lovorka Juranović, Rijeka, Verdieva 6/III, </w:t>
      </w:r>
      <w:r w:rsidRPr="00B11660">
        <w:t xml:space="preserve">OIB: </w:t>
      </w:r>
      <w:r w:rsidR="00B11660" w:rsidRPr="00B11660">
        <w:t>83481633615</w:t>
      </w:r>
      <w:r w:rsidRPr="00B11660">
        <w:t>.</w:t>
      </w:r>
    </w:p>
    <w:p w:rsidRDefault="00B446C5" w:rsidP="00B446C5" w:rsidR="00B446C5" w:rsidRPr="00B11660">
      <w:pPr>
        <w:pStyle w:val="Odlomakpopisa"/>
        <w:jc w:val="both"/>
      </w:pPr>
    </w:p>
    <w:p w:rsidRDefault="00B446C5" w:rsidP="00B446C5" w:rsidR="00B446C5" w:rsidRPr="00B11660">
      <w:pPr>
        <w:pStyle w:val="Odlomakpopisa"/>
        <w:numPr>
          <w:ilvl w:val="0"/>
          <w:numId w:val="1"/>
        </w:numPr>
        <w:jc w:val="both"/>
      </w:pPr>
      <w:r w:rsidRPr="00B11660">
        <w:t>Dužnost je privremenog stečajnog upravitelja pribaviti podatke nadležnih institucija, izvršiti uvid u poslovne knjige i poslovnu dokumentaciju dužnika, te stupiti u poslovne prostorije dužnika i nakon toga podnijeti izvješće u kojem će iznijeti svoje stručno mišljenje o tome postoji li kod dužnika i nadalje stečajni razlog i utvrditi:</w:t>
      </w:r>
    </w:p>
    <w:p w:rsidRDefault="00B446C5" w:rsidP="00B446C5" w:rsidR="00B446C5" w:rsidRPr="00B11660">
      <w:pPr>
        <w:pStyle w:val="Odlomakpopisa"/>
        <w:jc w:val="both"/>
      </w:pPr>
      <w:r w:rsidRPr="00B11660">
        <w:t>- imovinu stečajnog dužnika</w:t>
      </w:r>
    </w:p>
    <w:p w:rsidRDefault="00B446C5" w:rsidP="00B446C5" w:rsidR="00B446C5" w:rsidRPr="00B11660">
      <w:pPr>
        <w:pStyle w:val="Odlomakpopisa"/>
        <w:jc w:val="both"/>
      </w:pPr>
      <w:r w:rsidRPr="00B11660">
        <w:t xml:space="preserve">- stanje obveza stečajnog dužnika i </w:t>
      </w:r>
    </w:p>
    <w:p w:rsidRDefault="00B446C5" w:rsidP="00B446C5" w:rsidR="00B446C5" w:rsidRPr="00B11660">
      <w:pPr>
        <w:pStyle w:val="Odlomakpopisa"/>
        <w:jc w:val="both"/>
      </w:pPr>
      <w:r w:rsidRPr="00B11660">
        <w:t xml:space="preserve">- je li imovina stečajnog dužnika dovoljna za namirenje troškova stečajnog postupka te koliki je iznos predvidivih troškova prethodnog i stečajnog postupka. Privremeni stečajni upravitelj dužan je pisano izvješće s mišljenjem izraditi u roku 30 dana i dostaviti ga u spis i na e-mail </w:t>
      </w:r>
      <w:r w:rsidR="009F21F1" w:rsidRPr="00B11660">
        <w:t>nikolina.krunic@tszg.pravosudje.hr</w:t>
      </w:r>
      <w:r w:rsidRPr="00B11660">
        <w:t>.</w:t>
      </w:r>
    </w:p>
    <w:p w:rsidRDefault="00B446C5" w:rsidP="00B446C5" w:rsidR="00B446C5" w:rsidRPr="00B11660">
      <w:pPr>
        <w:pStyle w:val="BodyText21"/>
        <w:ind w:firstLine="0" w:left="360"/>
        <w:rPr>
          <w:rFonts w:hAnsi="Times New Roman" w:ascii="Times New Roman"/>
          <w:szCs w:val="24"/>
        </w:rPr>
      </w:pPr>
    </w:p>
    <w:p w:rsidRDefault="00B446C5" w:rsidP="000B1910" w:rsidR="00B446C5">
      <w:pPr>
        <w:ind w:hanging="720" w:left="720"/>
        <w:jc w:val="center"/>
        <w:rPr>
          <w:sz w:val="24"/>
        </w:rPr>
      </w:pPr>
      <w:r w:rsidRPr="00B11660">
        <w:rPr>
          <w:sz w:val="24"/>
        </w:rPr>
        <w:t>Obrazloženje</w:t>
      </w:r>
    </w:p>
    <w:p w:rsidRDefault="007975BF" w:rsidP="000B1910" w:rsidR="007975BF" w:rsidRPr="00B11660">
      <w:pPr>
        <w:ind w:hanging="720" w:left="720"/>
        <w:jc w:val="center"/>
        <w:rPr>
          <w:sz w:val="24"/>
        </w:rPr>
      </w:pPr>
    </w:p>
    <w:p w:rsidRDefault="000B1910" w:rsidP="00B446C5" w:rsidR="00B446C5" w:rsidRPr="00B11660">
      <w:pPr>
        <w:ind w:firstLine="708"/>
        <w:jc w:val="both"/>
        <w:rPr>
          <w:sz w:val="24"/>
          <w:szCs w:val="24"/>
        </w:rPr>
      </w:pPr>
      <w:r w:rsidRPr="00B11660">
        <w:rPr>
          <w:sz w:val="24"/>
          <w:szCs w:val="24"/>
        </w:rPr>
        <w:t>Financijska agencija, Regionalni centar Zagreb, podnijela je ovom sudu prijedlog za otvaranje stečajnog postupka nad dužnikom NIVOMA d.o.o., OIB: 08356942497, Zagreb, Jagodnjak 10, na temelju odredbe čl. 110. st. 1. Stečajnog zakona („Narodne novine“ broj 71/15 i 104/17, dalje: SZ). U prijedlogu za otvaranje stečajnog postupka se u bitnome navodi kako je na dan 4. listopada 2018. dužnik u Očevidniku redoslijeda osnova za plaćanje imao evidentirane neizvršene osnove za plaćanje u neprekinutom razdoblju od 120 dana, u ukupnom iznosu od 40.877,55 kn, te je imao 2 zaposlenika.</w:t>
      </w:r>
    </w:p>
    <w:p w:rsidRDefault="000B1910" w:rsidP="00B446C5" w:rsidR="000B1910" w:rsidRPr="00B11660">
      <w:pPr>
        <w:ind w:firstLine="708"/>
        <w:jc w:val="both"/>
        <w:rPr>
          <w:sz w:val="24"/>
          <w:szCs w:val="24"/>
        </w:rPr>
      </w:pPr>
    </w:p>
    <w:p w:rsidRDefault="000B1910" w:rsidP="00727FF8" w:rsidR="00727FF8" w:rsidRPr="00B11660">
      <w:pPr>
        <w:ind w:firstLine="708"/>
        <w:jc w:val="both"/>
        <w:rPr>
          <w:sz w:val="24"/>
          <w:szCs w:val="24"/>
        </w:rPr>
      </w:pPr>
      <w:r w:rsidRPr="00B11660">
        <w:rPr>
          <w:sz w:val="24"/>
          <w:szCs w:val="24"/>
        </w:rPr>
        <w:t>Sud je rješenjem</w:t>
      </w:r>
      <w:r w:rsidR="00517E61" w:rsidRPr="00B11660">
        <w:rPr>
          <w:sz w:val="24"/>
          <w:szCs w:val="24"/>
        </w:rPr>
        <w:t xml:space="preserve"> i zaključkom</w:t>
      </w:r>
      <w:r w:rsidRPr="00B11660">
        <w:rPr>
          <w:sz w:val="24"/>
          <w:szCs w:val="24"/>
        </w:rPr>
        <w:t xml:space="preserve"> od 15. listopada 2018.</w:t>
      </w:r>
      <w:r w:rsidR="00E26A3B" w:rsidRPr="00B11660">
        <w:t xml:space="preserve"> </w:t>
      </w:r>
      <w:r w:rsidR="00E26A3B" w:rsidRPr="00B11660">
        <w:rPr>
          <w:sz w:val="24"/>
          <w:szCs w:val="24"/>
        </w:rPr>
        <w:t>koji su istoga dana objavljeni na mrežnoj stranici e-oglasna ploča ovoga suda</w:t>
      </w:r>
      <w:r w:rsidRPr="00B11660">
        <w:rPr>
          <w:sz w:val="24"/>
          <w:szCs w:val="24"/>
        </w:rPr>
        <w:t xml:space="preserve"> pokrenuo prethodni postupak nad dužnikom, </w:t>
      </w:r>
      <w:r w:rsidR="00517E61" w:rsidRPr="00B11660">
        <w:rPr>
          <w:sz w:val="24"/>
          <w:szCs w:val="24"/>
        </w:rPr>
        <w:t xml:space="preserve">u skladu s odredbom čl. 115. st. 1. SZ-a, te je naloženo osobi ovlaštenoj za zastupanje dužnika </w:t>
      </w:r>
      <w:r w:rsidR="00517E61" w:rsidRPr="00B11660">
        <w:rPr>
          <w:sz w:val="24"/>
          <w:szCs w:val="24"/>
        </w:rPr>
        <w:lastRenderedPageBreak/>
        <w:t xml:space="preserve">dostaviti ovom sudu pisano izvješće o financijsko – gospodarskom stanju dužniku, dok je 12. prosinca 2018. održano ročište radi očitovanja o prijedlogu za otvaranje stečajnog postupka, a 22. siječnja 2019. ročište radi rasprave o pretpostavkama za otvaranje stečajnog postupka nad dužnikom, na koja nije pristupila uredno pozvana osoba ovlaštena za zastupanje dužnika </w:t>
      </w:r>
      <w:r w:rsidR="00727FF8" w:rsidRPr="00B11660">
        <w:rPr>
          <w:sz w:val="24"/>
          <w:szCs w:val="24"/>
        </w:rPr>
        <w:t>Nika Vodanović, koja je međutim podneskom od 29. listopada 2018. obavijestila sud da dužnik od imovine ima odjeću koja je zadržana u lokalu u centru Kaptol maloprodajne vrijednosti u iznosu od 37.963,00 kn, u prilog kojim tvrdnjama je dostavio popis robe i njene vrijednosti na dan 29. listopada 2018. godine.</w:t>
      </w:r>
    </w:p>
    <w:p w:rsidRDefault="00727FF8" w:rsidP="00727FF8" w:rsidR="00727FF8" w:rsidRPr="00B11660">
      <w:pPr>
        <w:ind w:firstLine="708"/>
        <w:jc w:val="both"/>
        <w:rPr>
          <w:sz w:val="24"/>
          <w:szCs w:val="24"/>
        </w:rPr>
      </w:pPr>
    </w:p>
    <w:p w:rsidRDefault="00727FF8" w:rsidP="000B1910" w:rsidR="000B1910" w:rsidRPr="00B11660">
      <w:pPr>
        <w:ind w:firstLine="708"/>
        <w:jc w:val="both"/>
        <w:rPr>
          <w:sz w:val="24"/>
          <w:szCs w:val="24"/>
        </w:rPr>
      </w:pPr>
      <w:r w:rsidRPr="00B11660">
        <w:rPr>
          <w:sz w:val="24"/>
          <w:szCs w:val="24"/>
        </w:rPr>
        <w:t xml:space="preserve">Ovaj sud je primjenom </w:t>
      </w:r>
      <w:r w:rsidR="000B1910" w:rsidRPr="00B11660">
        <w:rPr>
          <w:sz w:val="24"/>
          <w:szCs w:val="24"/>
        </w:rPr>
        <w:t>odredbe čl. 11. st. 3. SZ-a pribavio podatak o tome da dužnik nije u posjedu nekretnina (list 10.-11. spisa), kao i o tome da je dužnik prema službenoj evidenciji registracije cestovnih vozila nije evidentiran kao vlasnik vozila (uvjerenje Stanice za tehnički pregled vozila, Centar za vozila Hrvatske d.d. od 24. prosinca 2018., list 20. spisa).</w:t>
      </w:r>
    </w:p>
    <w:p w:rsidRDefault="00727FF8" w:rsidP="00B446C5" w:rsidR="00727FF8" w:rsidRPr="00B11660">
      <w:pPr>
        <w:ind w:firstLine="709"/>
        <w:jc w:val="both"/>
        <w:rPr>
          <w:color w:val="FF0000"/>
          <w:sz w:val="24"/>
          <w:szCs w:val="24"/>
        </w:rPr>
      </w:pPr>
    </w:p>
    <w:p w:rsidRDefault="00B446C5" w:rsidP="00B446C5" w:rsidR="00B446C5" w:rsidRPr="00B11660">
      <w:pPr>
        <w:ind w:firstLine="709"/>
        <w:jc w:val="both"/>
        <w:rPr>
          <w:sz w:val="24"/>
          <w:szCs w:val="24"/>
        </w:rPr>
      </w:pPr>
      <w:r w:rsidRPr="00B11660">
        <w:rPr>
          <w:sz w:val="24"/>
          <w:szCs w:val="24"/>
        </w:rPr>
        <w:t>Odredbom čl. 132. st. 1. SZ-a propisano je da ako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w:t>
      </w:r>
    </w:p>
    <w:p w:rsidRDefault="00B446C5" w:rsidP="00B446C5" w:rsidR="00B446C5" w:rsidRPr="00B11660">
      <w:pPr>
        <w:ind w:firstLine="709"/>
        <w:jc w:val="both"/>
        <w:rPr>
          <w:sz w:val="24"/>
          <w:szCs w:val="24"/>
        </w:rPr>
      </w:pPr>
    </w:p>
    <w:p w:rsidRDefault="00727FF8" w:rsidP="00A21879" w:rsidR="00CC5ED1" w:rsidRPr="00B11660">
      <w:pPr>
        <w:ind w:firstLine="708"/>
        <w:jc w:val="both"/>
        <w:rPr>
          <w:sz w:val="24"/>
          <w:szCs w:val="24"/>
        </w:rPr>
      </w:pPr>
      <w:r w:rsidRPr="00B11660">
        <w:rPr>
          <w:sz w:val="24"/>
          <w:szCs w:val="24"/>
        </w:rPr>
        <w:t xml:space="preserve">S obzirom na sve navedeno, </w:t>
      </w:r>
      <w:r w:rsidR="00CC5ED1" w:rsidRPr="00B11660">
        <w:rPr>
          <w:sz w:val="24"/>
          <w:szCs w:val="24"/>
        </w:rPr>
        <w:t>to  na temelju isprava u spisu u ovoj fazi stečajnog postupka nije bilo moguće utvrditi imovinu dužnika koja bi ušla u stečajnu masu, odnosno status i stanje obveza dužnika i mogućnost da se imovinom dužnika pokriju troškovi stečajnog postupka. Zbog toga je, uzevši u obzir navedeno, sud na temelju odredaba čl. 118. st. 1. i 2. t. 1. SZ-a odlučio kao u točki I. izreke ovog rješenja.</w:t>
      </w:r>
    </w:p>
    <w:p w:rsidRDefault="00B446C5" w:rsidP="00B446C5" w:rsidR="00B446C5" w:rsidRPr="00B11660">
      <w:pPr>
        <w:ind w:firstLine="708"/>
        <w:jc w:val="both"/>
        <w:rPr>
          <w:sz w:val="24"/>
          <w:szCs w:val="24"/>
        </w:rPr>
      </w:pPr>
    </w:p>
    <w:p w:rsidRDefault="00B446C5" w:rsidP="00B446C5" w:rsidR="00B446C5" w:rsidRPr="00B11660">
      <w:pPr>
        <w:ind w:firstLine="708"/>
        <w:jc w:val="both"/>
        <w:rPr>
          <w:sz w:val="24"/>
          <w:szCs w:val="24"/>
        </w:rPr>
      </w:pPr>
      <w:r w:rsidRPr="00B11660">
        <w:rPr>
          <w:sz w:val="24"/>
          <w:szCs w:val="24"/>
        </w:rPr>
        <w:t xml:space="preserve">Privremeni stečajni upravitelj izabran je metodom slučajnog odabira s liste A stečajnih upravitelja u skladu s odredbom čl. 84. st. 1. SZ-a u vezi s odredbom čl. 118. st. 2. t. 1. SZ-a.   </w:t>
      </w:r>
    </w:p>
    <w:p w:rsidRDefault="00B446C5" w:rsidP="00B446C5" w:rsidR="00B446C5" w:rsidRPr="00B11660">
      <w:pPr>
        <w:ind w:firstLine="708"/>
        <w:jc w:val="both"/>
        <w:rPr>
          <w:sz w:val="24"/>
          <w:szCs w:val="24"/>
        </w:rPr>
      </w:pPr>
    </w:p>
    <w:p w:rsidRDefault="00B446C5" w:rsidP="00B446C5" w:rsidR="00B446C5" w:rsidRPr="00B11660">
      <w:pPr>
        <w:ind w:firstLine="708"/>
        <w:jc w:val="both"/>
        <w:rPr>
          <w:sz w:val="24"/>
          <w:szCs w:val="24"/>
        </w:rPr>
      </w:pPr>
      <w:r w:rsidRPr="00B11660">
        <w:rPr>
          <w:sz w:val="24"/>
          <w:szCs w:val="24"/>
        </w:rPr>
        <w:t>U točki II. izreke ovog rješenja utvrđene su dužnosti privremenog stečajnog upravitelja na temelju odredaba čl. 119. st. 3. – 6. SZ-a.</w:t>
      </w:r>
    </w:p>
    <w:p w:rsidRDefault="00E26A3B" w:rsidP="00E26A3B" w:rsidR="00E26A3B" w:rsidRPr="00B11660">
      <w:pPr>
        <w:jc w:val="both"/>
      </w:pPr>
    </w:p>
    <w:p w:rsidRDefault="00E26A3B" w:rsidP="00E26A3B" w:rsidR="00E26A3B" w:rsidRPr="00B11660">
      <w:pPr>
        <w:jc w:val="center"/>
        <w:rPr>
          <w:sz w:val="24"/>
          <w:szCs w:val="24"/>
        </w:rPr>
      </w:pPr>
      <w:r w:rsidRPr="00B11660">
        <w:rPr>
          <w:sz w:val="24"/>
          <w:szCs w:val="24"/>
        </w:rPr>
        <w:t>Zagreb, 22. siječnja 2019.</w:t>
      </w:r>
    </w:p>
    <w:p w:rsidRDefault="00E26A3B" w:rsidP="00E26A3B" w:rsidR="00E26A3B" w:rsidRPr="00B11660">
      <w:pPr>
        <w:jc w:val="right"/>
        <w:rPr>
          <w:sz w:val="24"/>
          <w:szCs w:val="24"/>
        </w:rPr>
      </w:pPr>
      <w:r w:rsidRPr="00B11660">
        <w:rPr>
          <w:sz w:val="24"/>
          <w:szCs w:val="24"/>
        </w:rPr>
        <w:t>Sutkinja:</w:t>
      </w:r>
    </w:p>
    <w:p w:rsidRDefault="00E26A3B" w:rsidP="00E26A3B" w:rsidR="00E26A3B" w:rsidRPr="00B11660">
      <w:pPr>
        <w:jc w:val="right"/>
        <w:rPr>
          <w:sz w:val="24"/>
          <w:szCs w:val="24"/>
        </w:rPr>
      </w:pPr>
      <w:r w:rsidRPr="00B11660">
        <w:rPr>
          <w:sz w:val="24"/>
          <w:szCs w:val="24"/>
        </w:rPr>
        <w:t>Maja Praljak</w:t>
      </w:r>
      <w:r w:rsidR="007975BF">
        <w:rPr>
          <w:sz w:val="24"/>
          <w:szCs w:val="24"/>
        </w:rPr>
        <w:t xml:space="preserve"> v. r. </w:t>
      </w:r>
    </w:p>
    <w:p w:rsidRDefault="00E26A3B" w:rsidP="00E26A3B" w:rsidR="00E26A3B" w:rsidRPr="00B11660"/>
    <w:p w:rsidRDefault="00B446C5" w:rsidP="00B446C5" w:rsidR="00B446C5" w:rsidRPr="00B11660">
      <w:pPr>
        <w:jc w:val="both"/>
        <w:rPr>
          <w:sz w:val="24"/>
          <w:szCs w:val="24"/>
        </w:rPr>
      </w:pPr>
      <w:r w:rsidRPr="00B11660">
        <w:rPr>
          <w:sz w:val="24"/>
          <w:szCs w:val="24"/>
        </w:rPr>
        <w:t>Uputa o pravnom lijeku:</w:t>
      </w:r>
    </w:p>
    <w:p w:rsidRDefault="00B446C5" w:rsidP="00B446C5" w:rsidR="00B446C5" w:rsidRPr="00B11660">
      <w:pPr>
        <w:jc w:val="both"/>
        <w:rPr>
          <w:sz w:val="24"/>
          <w:szCs w:val="24"/>
        </w:rPr>
      </w:pPr>
      <w:r w:rsidRPr="00B11660">
        <w:rPr>
          <w:sz w:val="24"/>
          <w:szCs w:val="24"/>
        </w:rPr>
        <w:t>Protiv ovog rješenja može se izjaviti žalba Visokom trgovačkom sudu Republike Hrvatske u roku od 8 dana od dostave rješenja, a podnosi se putem ovog suda u 2 primjerka. Dostava se smatra obavljenom istekom osmoga dana od dana objave ovog  rješenja na mrežnoj stranici e-oglasna ploča Trgovačkog suda u Zagrebu (čl. 12. st. 1. SZ).</w:t>
      </w:r>
    </w:p>
    <w:p w:rsidRDefault="00E26A3B" w:rsidP="00E26A3B" w:rsidR="00E26A3B" w:rsidRPr="00B11660">
      <w:pPr>
        <w:jc w:val="both"/>
        <w:rPr>
          <w:sz w:val="24"/>
        </w:rPr>
      </w:pPr>
    </w:p>
    <w:p w:rsidRDefault="007975BF" w:rsidP="00B446C5" w:rsidR="00B446C5">
      <w:pPr>
        <w:jc w:val="both"/>
      </w:pPr>
      <w:r>
        <w:tab/>
      </w:r>
      <w:r>
        <w:tab/>
      </w:r>
      <w:r>
        <w:tab/>
      </w:r>
      <w:r>
        <w:tab/>
      </w:r>
      <w:r>
        <w:tab/>
      </w:r>
      <w:r>
        <w:tab/>
      </w:r>
      <w:r>
        <w:tab/>
      </w:r>
      <w:r>
        <w:tab/>
        <w:t>Za toč. otpravka – ovl. službenik</w:t>
      </w:r>
    </w:p>
    <w:p w:rsidRDefault="007975BF" w:rsidP="00B446C5" w:rsidR="007975BF">
      <w:pPr>
        <w:jc w:val="both"/>
      </w:pPr>
      <w:r>
        <w:tab/>
      </w:r>
      <w:r>
        <w:tab/>
      </w:r>
      <w:r>
        <w:tab/>
      </w:r>
      <w:r>
        <w:tab/>
      </w:r>
      <w:r>
        <w:tab/>
      </w:r>
      <w:r>
        <w:tab/>
      </w:r>
      <w:r>
        <w:tab/>
      </w:r>
      <w:r>
        <w:tab/>
      </w:r>
      <w:r>
        <w:tab/>
        <w:t>Kristina Švajger</w:t>
      </w:r>
    </w:p>
    <w:p w:rsidRDefault="00A663AF" w:rsidR="00A663AF"/>
    <w:sectPr w:rsidSect="007975BF" w:rsidR="00A663AF">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975BF" w:rsidP="007975BF" w:rsidR="007975BF">
      <w:r>
        <w:separator/>
      </w:r>
    </w:p>
  </w:endnote>
  <w:endnote w:id="0" w:type="continuationSeparator">
    <w:p w:rsidRDefault="007975BF" w:rsidP="007975BF" w:rsidR="007975B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libri Light">
    <w:panose1 w:val="020F0302020204030204"/>
    <w:charset w:val="EE"/>
    <w:family w:val="swiss"/>
    <w:pitch w:val="variable"/>
    <w:sig w:csb1="00000000" w:csb0="0000019F" w:usb3="00000000" w:usb2="00000000" w:usb1="4000207B" w:usb0="A00002E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975BF" w:rsidP="007975BF" w:rsidR="007975BF">
      <w:r>
        <w:separator/>
      </w:r>
    </w:p>
  </w:footnote>
  <w:footnote w:id="0" w:type="continuationSeparator">
    <w:p w:rsidRDefault="007975BF" w:rsidP="007975BF" w:rsidR="007975B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62964501"/>
      <w:docPartObj>
        <w:docPartGallery w:val="Page Numbers (Top of Page)"/>
        <w:docPartUnique/>
      </w:docPartObj>
    </w:sdtPr>
    <w:sdtContent>
      <w:p w:rsidRDefault="007975BF" w:rsidP="007975BF" w:rsidR="007975BF" w:rsidRPr="00B11660">
        <w:pPr>
          <w:rPr>
            <w:sz w:val="24"/>
            <w:szCs w:val="24"/>
          </w:rPr>
        </w:pPr>
        <w:r>
          <w:t xml:space="preserve">                                                                                                                                </w:t>
        </w:r>
        <w:r>
          <w:fldChar w:fldCharType="begin"/>
        </w:r>
        <w:r>
          <w:instrText>PAGE   \* MERGEFORMAT</w:instrText>
        </w:r>
        <w:r>
          <w:fldChar w:fldCharType="separate"/>
        </w:r>
        <w:r>
          <w:rPr>
            <w:noProof/>
          </w:rPr>
          <w:t>2</w:t>
        </w:r>
        <w:r>
          <w:fldChar w:fldCharType="end"/>
        </w:r>
        <w:r>
          <w:t xml:space="preserve">  </w:t>
        </w:r>
        <w:r w:rsidRPr="00B11660">
          <w:rPr>
            <w:sz w:val="24"/>
            <w:szCs w:val="24"/>
          </w:rPr>
          <w:t>46. St-2567/18</w:t>
        </w:r>
        <w:r>
          <w:rPr>
            <w:sz w:val="24"/>
            <w:szCs w:val="24"/>
          </w:rPr>
          <w:t>-14</w:t>
        </w:r>
      </w:p>
      <w:p w:rsidRDefault="007975BF" w:rsidR="007975BF">
        <w:pPr>
          <w:pStyle w:val="Zaglavlje"/>
          <w:jc w:val="right"/>
        </w:pPr>
      </w:p>
    </w:sdtContent>
  </w:sdt>
  <w:p w:rsidRDefault="007975BF" w:rsidR="007975BF">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EF703F1"/>
    <w:multiLevelType w:val="hybridMultilevel"/>
    <w:tmpl w:val="735C2310"/>
    <w:lvl w:tplc="A71C6796" w:ilvl="0">
      <w:start w:val="1"/>
      <w:numFmt w:val="upperRoman"/>
      <w:lvlText w:val="%1."/>
      <w:lvlJc w:val="right"/>
      <w:pPr>
        <w:ind w:hanging="360" w:left="720"/>
      </w:pPr>
      <w:rPr>
        <w:rFonts w:cs="Times New Roman" w:eastAsia="Times New Roman" w:hAnsi="Times New Roman" w:ascii="Times New Roman"/>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446C5"/>
    <w:rsid w:val="000B1910"/>
    <w:rsid w:val="00292600"/>
    <w:rsid w:val="003F38B8"/>
    <w:rsid w:val="00517E61"/>
    <w:rsid w:val="00676EDE"/>
    <w:rsid w:val="00727FF8"/>
    <w:rsid w:val="007975BF"/>
    <w:rsid w:val="00820737"/>
    <w:rsid w:val="009A283D"/>
    <w:rsid w:val="009F21F1"/>
    <w:rsid w:val="00A21879"/>
    <w:rsid w:val="00A663AF"/>
    <w:rsid w:val="00B11660"/>
    <w:rsid w:val="00B446C5"/>
    <w:rsid w:val="00BA3F93"/>
    <w:rsid w:val="00CC5ED1"/>
    <w:rsid w:val="00CD70A8"/>
    <w:rsid w:val="00E26A3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3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446C5"/>
    <w:pPr>
      <w:overflowPunct w:val="false"/>
      <w:autoSpaceDE w:val="false"/>
      <w:autoSpaceDN w:val="false"/>
      <w:adjustRightInd w:val="false"/>
    </w:pPr>
    <w:rPr>
      <w:rFonts w:cs="Times New Roman" w:eastAsia="Times New Roman"/>
      <w:sz w:val="22"/>
      <w:szCs w:val="20"/>
      <w:lang w:eastAsia="hr-HR"/>
    </w:rPr>
  </w:style>
  <w:style w:styleId="Naslov2" w:type="paragraph">
    <w:name w:val="heading 2"/>
    <w:basedOn w:val="Normal"/>
    <w:next w:val="Normal"/>
    <w:link w:val="Naslov2Char"/>
    <w:semiHidden/>
    <w:unhideWhenUsed/>
    <w:qFormat/>
    <w:rsid w:val="00B446C5"/>
    <w:pPr>
      <w:keepNext/>
      <w:widowControl w:val="false"/>
      <w:jc w:val="both"/>
      <w:outlineLvl w:val="1"/>
    </w:pPr>
    <w:rPr>
      <w: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semiHidden/>
    <w:rsid w:val="00B446C5"/>
    <w:rPr>
      <w:rFonts w:cs="Times New Roman" w:eastAsia="Times New Roman"/>
      <w:b/>
      <w:sz w:val="22"/>
      <w:szCs w:val="20"/>
      <w:lang w:eastAsia="hr-HR"/>
    </w:rPr>
  </w:style>
  <w:style w:styleId="Hiperveza" w:type="character">
    <w:name w:val="Hyperlink"/>
    <w:basedOn w:val="Zadanifontodlomka"/>
    <w:uiPriority w:val="99"/>
    <w:unhideWhenUsed/>
    <w:rsid w:val="00B446C5"/>
    <w:rPr>
      <w:color w:val="0000FF"/>
      <w:u w:val="single"/>
    </w:rPr>
  </w:style>
  <w:style w:styleId="Odlomakpopisa" w:type="paragraph">
    <w:name w:val="List Paragraph"/>
    <w:basedOn w:val="Normal"/>
    <w:uiPriority w:val="34"/>
    <w:qFormat/>
    <w:rsid w:val="00B446C5"/>
    <w:pPr>
      <w:overflowPunct/>
      <w:autoSpaceDE/>
      <w:autoSpaceDN/>
      <w:adjustRightInd/>
      <w:ind w:left="720"/>
      <w:contextualSpacing/>
    </w:pPr>
    <w:rPr>
      <w:sz w:val="24"/>
      <w:szCs w:val="24"/>
    </w:rPr>
  </w:style>
  <w:style w:customStyle="true" w:styleId="BodyText21" w:type="paragraph">
    <w:name w:val="Body Text 21"/>
    <w:basedOn w:val="Normal"/>
    <w:rsid w:val="00B446C5"/>
    <w:pPr>
      <w:ind w:hanging="720" w:left="720"/>
      <w:jc w:val="both"/>
    </w:pPr>
    <w:rPr>
      <w:rFonts w:hAnsi="Arial" w:ascii="Arial"/>
      <w:sz w:val="24"/>
    </w:rPr>
  </w:style>
  <w:style w:styleId="Tijeloteksta" w:type="paragraph">
    <w:name w:val="Body Text"/>
    <w:basedOn w:val="Normal"/>
    <w:link w:val="TijelotekstaChar"/>
    <w:rsid w:val="000B1910"/>
    <w:pPr>
      <w:overflowPunct/>
      <w:autoSpaceDE/>
      <w:autoSpaceDN/>
      <w:adjustRightInd/>
      <w:jc w:val="both"/>
    </w:pPr>
    <w:rPr>
      <w:sz w:val="24"/>
      <w:szCs w:val="24"/>
    </w:rPr>
  </w:style>
  <w:style w:customStyle="true" w:styleId="TijelotekstaChar" w:type="character">
    <w:name w:val="Tijelo teksta Char"/>
    <w:basedOn w:val="Zadanifontodlomka"/>
    <w:link w:val="Tijeloteksta"/>
    <w:rsid w:val="000B1910"/>
    <w:rPr>
      <w:rFonts w:cs="Times New Roman" w:eastAsia="Times New Roman"/>
      <w:szCs w:val="24"/>
      <w:lang w:eastAsia="hr-HR"/>
    </w:rPr>
  </w:style>
  <w:style w:styleId="Tekstrezerviranogmjesta" w:type="character">
    <w:name w:val="Placeholder Text"/>
    <w:basedOn w:val="Zadanifontodlomka"/>
    <w:uiPriority w:val="99"/>
    <w:semiHidden/>
    <w:rsid w:val="003F38B8"/>
    <w:rPr>
      <w:color w:val="808080"/>
      <w:bdr w:space="0" w:sz="0" w:color="auto" w:val="none"/>
      <w:shd w:fill="auto" w:color="auto" w:val="clear"/>
    </w:rPr>
  </w:style>
  <w:style w:customStyle="true" w:styleId="eSPISCCParagraphDefaultFont" w:type="character">
    <w:name w:val="eSPIS_CC_Paragraph Default Font"/>
    <w:basedOn w:val="Zadanifontodlomka"/>
    <w:rsid w:val="003F38B8"/>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3F38B8"/>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3F38B8"/>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3F38B8"/>
    <w:rPr>
      <w:rFonts w:cs="Times New Roman" w:hAnsi="Times New Roman" w:ascii="Times New Roman"/>
      <w:sz w:val="24"/>
      <w:szCs w:val="24"/>
      <w:bdr w:space="0" w:sz="0" w:color="auto" w:val="none"/>
      <w:shd w:fill="CCFFCC" w:color="auto" w:val="clear"/>
      <w:lang w:val="hr-HR"/>
    </w:rPr>
  </w:style>
  <w:style w:styleId="Tekstbalonia" w:type="paragraph">
    <w:name w:val="Balloon Text"/>
    <w:basedOn w:val="Normal"/>
    <w:link w:val="TekstbaloniaChar"/>
    <w:uiPriority w:val="99"/>
    <w:semiHidden/>
    <w:unhideWhenUsed/>
    <w:rsid w:val="007975BF"/>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7975BF"/>
    <w:rPr>
      <w:rFonts w:cs="Tahoma" w:eastAsia="Times New Roman" w:hAnsi="Tahoma" w:ascii="Tahoma"/>
      <w:sz w:val="16"/>
      <w:szCs w:val="16"/>
      <w:lang w:eastAsia="hr-HR"/>
    </w:rPr>
  </w:style>
  <w:style w:styleId="Zaglavlje" w:type="paragraph">
    <w:name w:val="header"/>
    <w:basedOn w:val="Normal"/>
    <w:link w:val="ZaglavljeChar"/>
    <w:uiPriority w:val="99"/>
    <w:unhideWhenUsed/>
    <w:rsid w:val="007975BF"/>
    <w:pPr>
      <w:tabs>
        <w:tab w:pos="4536" w:val="center"/>
        <w:tab w:pos="9072" w:val="right"/>
      </w:tabs>
    </w:pPr>
  </w:style>
  <w:style w:customStyle="true" w:styleId="ZaglavljeChar" w:type="character">
    <w:name w:val="Zaglavlje Char"/>
    <w:basedOn w:val="Zadanifontodlomka"/>
    <w:link w:val="Zaglavlje"/>
    <w:uiPriority w:val="99"/>
    <w:rsid w:val="007975BF"/>
    <w:rPr>
      <w:rFonts w:cs="Times New Roman" w:eastAsia="Times New Roman"/>
      <w:sz w:val="22"/>
      <w:szCs w:val="20"/>
      <w:lang w:eastAsia="hr-HR"/>
    </w:rPr>
  </w:style>
  <w:style w:styleId="Podnoje" w:type="paragraph">
    <w:name w:val="footer"/>
    <w:basedOn w:val="Normal"/>
    <w:link w:val="PodnojeChar"/>
    <w:uiPriority w:val="99"/>
    <w:unhideWhenUsed/>
    <w:rsid w:val="007975BF"/>
    <w:pPr>
      <w:tabs>
        <w:tab w:pos="4536" w:val="center"/>
        <w:tab w:pos="9072" w:val="right"/>
      </w:tabs>
    </w:pPr>
  </w:style>
  <w:style w:customStyle="true" w:styleId="PodnojeChar" w:type="character">
    <w:name w:val="Podnožje Char"/>
    <w:basedOn w:val="Zadanifontodlomka"/>
    <w:link w:val="Podnoje"/>
    <w:uiPriority w:val="99"/>
    <w:rsid w:val="007975BF"/>
    <w:rPr>
      <w:rFonts w:cs="Times New Roman" w:eastAsia="Times New Roman"/>
      <w:sz w:val="22"/>
      <w:szCs w:val="20"/>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3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446C5"/>
    <w:pPr>
      <w:overflowPunct w:val="0"/>
      <w:autoSpaceDE w:val="0"/>
      <w:autoSpaceDN w:val="0"/>
      <w:adjustRightInd w:val="0"/>
    </w:pPr>
    <w:rPr>
      <w:rFonts w:cs="Times New Roman" w:eastAsia="Times New Roman"/>
      <w:sz w:val="22"/>
      <w:szCs w:val="20"/>
      <w:lang w:eastAsia="hr-HR"/>
    </w:rPr>
  </w:style>
  <w:style w:styleId="Naslov2" w:type="paragraph">
    <w:name w:val="heading 2"/>
    <w:basedOn w:val="Normal"/>
    <w:next w:val="Normal"/>
    <w:link w:val="Naslov2Char"/>
    <w:semiHidden/>
    <w:unhideWhenUsed/>
    <w:qFormat/>
    <w:rsid w:val="00B446C5"/>
    <w:pPr>
      <w:keepNext/>
      <w:widowControl w:val="0"/>
      <w:jc w:val="both"/>
      <w:outlineLvl w:val="1"/>
    </w:pPr>
    <w:rPr>
      <w: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semiHidden/>
    <w:rsid w:val="00B446C5"/>
    <w:rPr>
      <w:rFonts w:cs="Times New Roman" w:eastAsia="Times New Roman"/>
      <w:b/>
      <w:sz w:val="22"/>
      <w:szCs w:val="20"/>
      <w:lang w:eastAsia="hr-HR"/>
    </w:rPr>
  </w:style>
  <w:style w:styleId="Hiperveza" w:type="character">
    <w:name w:val="Hyperlink"/>
    <w:basedOn w:val="Zadanifontodlomka"/>
    <w:uiPriority w:val="99"/>
    <w:unhideWhenUsed/>
    <w:rsid w:val="00B446C5"/>
    <w:rPr>
      <w:color w:val="0000FF"/>
      <w:u w:val="single"/>
    </w:rPr>
  </w:style>
  <w:style w:styleId="Odlomakpopisa" w:type="paragraph">
    <w:name w:val="List Paragraph"/>
    <w:basedOn w:val="Normal"/>
    <w:uiPriority w:val="34"/>
    <w:qFormat/>
    <w:rsid w:val="00B446C5"/>
    <w:pPr>
      <w:overflowPunct/>
      <w:autoSpaceDE/>
      <w:autoSpaceDN/>
      <w:adjustRightInd/>
      <w:ind w:left="720"/>
      <w:contextualSpacing/>
    </w:pPr>
    <w:rPr>
      <w:sz w:val="24"/>
      <w:szCs w:val="24"/>
    </w:rPr>
  </w:style>
  <w:style w:customStyle="1" w:styleId="BodyText21" w:type="paragraph">
    <w:name w:val="Body Text 21"/>
    <w:basedOn w:val="Normal"/>
    <w:rsid w:val="00B446C5"/>
    <w:pPr>
      <w:ind w:hanging="720" w:left="720"/>
      <w:jc w:val="both"/>
    </w:pPr>
    <w:rPr>
      <w:rFonts w:ascii="Arial" w:hAnsi="Arial"/>
      <w:sz w:val="24"/>
    </w:rPr>
  </w:style>
  <w:style w:styleId="Tijeloteksta" w:type="paragraph">
    <w:name w:val="Body Text"/>
    <w:basedOn w:val="Normal"/>
    <w:link w:val="TijelotekstaChar"/>
    <w:rsid w:val="000B1910"/>
    <w:pPr>
      <w:overflowPunct/>
      <w:autoSpaceDE/>
      <w:autoSpaceDN/>
      <w:adjustRightInd/>
      <w:jc w:val="both"/>
    </w:pPr>
    <w:rPr>
      <w:sz w:val="24"/>
      <w:szCs w:val="24"/>
    </w:rPr>
  </w:style>
  <w:style w:customStyle="1" w:styleId="TijelotekstaChar" w:type="character">
    <w:name w:val="Tijelo teksta Char"/>
    <w:basedOn w:val="Zadanifontodlomka"/>
    <w:link w:val="Tijeloteksta"/>
    <w:rsid w:val="000B1910"/>
    <w:rPr>
      <w:rFonts w:cs="Times New Roman" w:eastAsia="Times New Roman"/>
      <w:szCs w:val="24"/>
      <w:lang w:eastAsia="hr-HR"/>
    </w:rPr>
  </w:style>
  <w:style w:styleId="Tekstrezerviranogmjesta" w:type="character">
    <w:name w:val="Placeholder Text"/>
    <w:basedOn w:val="Zadanifontodlomka"/>
    <w:uiPriority w:val="99"/>
    <w:semiHidden/>
    <w:rsid w:val="003F38B8"/>
    <w:rPr>
      <w:color w:val="808080"/>
      <w:bdr w:color="auto" w:space="0" w:sz="0" w:val="none"/>
      <w:shd w:color="auto" w:fill="auto" w:val="clear"/>
    </w:rPr>
  </w:style>
  <w:style w:customStyle="1" w:styleId="eSPISCCParagraphDefaultFont" w:type="character">
    <w:name w:val="eSPIS_CC_Paragraph Default Font"/>
    <w:basedOn w:val="Zadanifontodlomka"/>
    <w:rsid w:val="003F38B8"/>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3F38B8"/>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3F38B8"/>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3F38B8"/>
    <w:rPr>
      <w:rFonts w:ascii="Times New Roman" w:cs="Times New Roman" w:hAnsi="Times New Roman"/>
      <w:sz w:val="24"/>
      <w:szCs w:val="24"/>
      <w:bdr w:color="auto" w:space="0" w:sz="0" w:val="none"/>
      <w:shd w:color="auto" w:fill="CCFFCC" w:val="clear"/>
      <w:lang w:val="hr-HR"/>
    </w:rPr>
  </w:style>
  <w:style w:styleId="Tekstbalonia" w:type="paragraph">
    <w:name w:val="Balloon Text"/>
    <w:basedOn w:val="Normal"/>
    <w:link w:val="TekstbaloniaChar"/>
    <w:uiPriority w:val="99"/>
    <w:semiHidden/>
    <w:unhideWhenUsed/>
    <w:rsid w:val="007975BF"/>
    <w:rPr>
      <w:rFonts w:ascii="Tahoma" w:cs="Tahoma" w:hAnsi="Tahoma"/>
      <w:sz w:val="16"/>
      <w:szCs w:val="16"/>
    </w:rPr>
  </w:style>
  <w:style w:customStyle="1" w:styleId="TekstbaloniaChar" w:type="character">
    <w:name w:val="Tekst balončića Char"/>
    <w:basedOn w:val="Zadanifontodlomka"/>
    <w:link w:val="Tekstbalonia"/>
    <w:uiPriority w:val="99"/>
    <w:semiHidden/>
    <w:rsid w:val="007975BF"/>
    <w:rPr>
      <w:rFonts w:ascii="Tahoma" w:cs="Tahoma" w:eastAsia="Times New Roman" w:hAnsi="Tahoma"/>
      <w:sz w:val="16"/>
      <w:szCs w:val="16"/>
      <w:lang w:eastAsia="hr-HR"/>
    </w:rPr>
  </w:style>
  <w:style w:styleId="Zaglavlje" w:type="paragraph">
    <w:name w:val="header"/>
    <w:basedOn w:val="Normal"/>
    <w:link w:val="ZaglavljeChar"/>
    <w:uiPriority w:val="99"/>
    <w:unhideWhenUsed/>
    <w:rsid w:val="007975BF"/>
    <w:pPr>
      <w:tabs>
        <w:tab w:pos="4536" w:val="center"/>
        <w:tab w:pos="9072" w:val="right"/>
      </w:tabs>
    </w:pPr>
  </w:style>
  <w:style w:customStyle="1" w:styleId="ZaglavljeChar" w:type="character">
    <w:name w:val="Zaglavlje Char"/>
    <w:basedOn w:val="Zadanifontodlomka"/>
    <w:link w:val="Zaglavlje"/>
    <w:uiPriority w:val="99"/>
    <w:rsid w:val="007975BF"/>
    <w:rPr>
      <w:rFonts w:cs="Times New Roman" w:eastAsia="Times New Roman"/>
      <w:sz w:val="22"/>
      <w:szCs w:val="20"/>
      <w:lang w:eastAsia="hr-HR"/>
    </w:rPr>
  </w:style>
  <w:style w:styleId="Podnoje" w:type="paragraph">
    <w:name w:val="footer"/>
    <w:basedOn w:val="Normal"/>
    <w:link w:val="PodnojeChar"/>
    <w:uiPriority w:val="99"/>
    <w:unhideWhenUsed/>
    <w:rsid w:val="007975BF"/>
    <w:pPr>
      <w:tabs>
        <w:tab w:pos="4536" w:val="center"/>
        <w:tab w:pos="9072" w:val="right"/>
      </w:tabs>
    </w:pPr>
  </w:style>
  <w:style w:customStyle="1" w:styleId="PodnojeChar" w:type="character">
    <w:name w:val="Podnožje Char"/>
    <w:basedOn w:val="Zadanifontodlomka"/>
    <w:link w:val="Podnoje"/>
    <w:uiPriority w:val="99"/>
    <w:rsid w:val="007975BF"/>
    <w:rPr>
      <w:rFonts w:cs="Times New Roman" w:eastAsia="Times New Roman"/>
      <w:sz w:val="22"/>
      <w:szCs w:val="20"/>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8617581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panose="020F0302020204030204" typeface="Calibri Light"/>
        <a:ea typeface=""/>
        <a:cs typeface=""/>
        <a:font typeface="游ゴシック Light" script="Jpan"/>
        <a:font typeface="맑은 고딕" script="Hang"/>
        <a:font typeface="等线 Light"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panose="020F0502020204030204" typeface="Calibri"/>
        <a:ea typeface=""/>
        <a:cs typeface=""/>
        <a:font typeface="游明朝" script="Jpan"/>
        <a:font typeface="맑은 고딕" script="Hang"/>
        <a:font typeface="等线"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22. siječnja 2019.</izvorni_sadrzaj>
    <derivirana_varijabla naziv="DomainObject.DatumDonosenjaOdluke_1">22.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St-2567/2018-14</izvorni_sadrzaj>
    <derivirana_varijabla naziv="DomainObject.Oznaka_1">St-2567/2018-14</derivirana_varijabla>
  </DomainObject.Oznaka>
  <DomainObject.DonositeljOdluke.Ime>
    <izvorni_sadrzaj>Maja</izvorni_sadrzaj>
    <derivirana_varijabla naziv="DomainObject.DonositeljOdluke.Ime_1">Maja</derivirana_varijabla>
  </DomainObject.DonositeljOdluke.Ime>
  <DomainObject.DonositeljOdluke.Prezime>
    <izvorni_sadrzaj>Praljak</izvorni_sadrzaj>
    <derivirana_varijabla naziv="DomainObject.DonositeljOdluke.Prezime_1">Praljak</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2567</izvorni_sadrzaj>
    <derivirana_varijabla naziv="DomainObject.Predmet.Broj_1">2567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listopada 2018.</izvorni_sadrzaj>
    <derivirana_varijabla naziv="DomainObject.Predmet.DatumOsnivanja_1">10. listopada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St-2567/2018</izvorni_sadrzaj>
    <derivirana_varijabla naziv="DomainObject.Predmet.OznakaBroj_1">St-2567/2018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NIVOMA d.o.o.</izvorni_sadrzaj>
    <derivirana_varijabla naziv="DomainObject.Predmet.ProtustrankaFormated_1">  NIVOMA d.o.o.</derivirana_varijabla>
  </DomainObject.Predmet.ProtustrankaFormated>
  <DomainObject.Predmet.ProtustrankaFormatedOIB>
    <izvorni_sadrzaj>  NIVOMA d.o.o., OIB 08356942497</izvorni_sadrzaj>
    <derivirana_varijabla naziv="DomainObject.Predmet.ProtustrankaFormatedOIB_1">  NIVOMA d.o.o., OIB 08356942497</derivirana_varijabla>
  </DomainObject.Predmet.ProtustrankaFormatedOIB>
  <DomainObject.Predmet.ProtustrankaFormatedWithAdress>
    <izvorni_sadrzaj> NIVOMA d.o.o., Jagodnjak 10, 10000 Zagreb</izvorni_sadrzaj>
    <derivirana_varijabla naziv="DomainObject.Predmet.ProtustrankaFormatedWithAdress_1"> NIVOMA d.o.o., Jagodnjak 10, 10000 Zagreb</derivirana_varijabla>
  </DomainObject.Predmet.ProtustrankaFormatedWithAdress>
  <DomainObject.Predmet.ProtustrankaFormatedWithAdressOIB>
    <izvorni_sadrzaj> NIVOMA d.o.o., OIB 08356942497, Jagodnjak 10, 10000 Zagreb</izvorni_sadrzaj>
    <derivirana_varijabla naziv="DomainObject.Predmet.ProtustrankaFormatedWithAdressOIB_1"> NIVOMA d.o.o., OIB 08356942497, Jagodnjak 10, 10000 Zagreb</derivirana_varijabla>
  </DomainObject.Predmet.ProtustrankaFormatedWithAdressOIB>
  <DomainObject.Predmet.ProtustrankaWithAdress>
    <izvorni_sadrzaj>NIVOMA d.o.o. Jagodnjak 10, 10000 Zagreb</izvorni_sadrzaj>
    <derivirana_varijabla naziv="DomainObject.Predmet.ProtustrankaWithAdress_1">NIVOMA d.o.o. Jagodnjak 10, 10000 Zagreb</derivirana_varijabla>
  </DomainObject.Predmet.ProtustrankaWithAdress>
  <DomainObject.Predmet.ProtustrankaWithAdressOIB>
    <izvorni_sadrzaj>NIVOMA d.o.o., OIB 08356942497, Jagodnjak 10, 10000 Zagreb</izvorni_sadrzaj>
    <derivirana_varijabla naziv="DomainObject.Predmet.ProtustrankaWithAdressOIB_1">NIVOMA d.o.o., OIB 08356942497, Jagodnjak 10, 10000 Zagreb</derivirana_varijabla>
  </DomainObject.Predmet.ProtustrankaWithAdressOIB>
  <DomainObject.Predmet.ProtustrankaNazivFormated>
    <izvorni_sadrzaj>NIVOMA d.o.o.</izvorni_sadrzaj>
    <derivirana_varijabla naziv="DomainObject.Predmet.ProtustrankaNazivFormated_1">NIVOMA d.o.o.</derivirana_varijabla>
  </DomainObject.Predmet.ProtustrankaNazivFormated>
  <DomainObject.Predmet.ProtustrankaNazivFormatedOIB>
    <izvorni_sadrzaj>NIVOMA d.o.o., OIB 08356942497</izvorni_sadrzaj>
    <derivirana_varijabla naziv="DomainObject.Predmet.ProtustrankaNazivFormatedOIB_1">NIVOMA d.o.o., OIB 08356942497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46. - M. Praljak </izvorni_sadrzaj>
    <derivirana_varijabla naziv="DomainObject.Predmet.Referada.Naziv_1">46. - M. Praljak </derivirana_varijabla>
  </DomainObject.Predmet.Referada.Naziv>
  <DomainObject.Predmet.Referada.Oznaka>
    <izvorni_sadrzaj>46.</izvorni_sadrzaj>
    <derivirana_varijabla naziv="DomainObject.Predmet.Referada.Oznaka_1">46.</derivirana_varijabla>
  </DomainObject.Predmet.Referada.Oznaka>
  <DomainObject.Predmet.Referada.Prostorija.Naziv>
    <izvorni_sadrzaj>Soba DZ III 68</izvorni_sadrzaj>
    <derivirana_varijabla naziv="DomainObject.Predmet.Referada.Prostorija.Naziv_1">Soba DZ III 68</derivirana_varijabla>
  </DomainObject.Predmet.Referada.Prostorija.Naziv>
  <DomainObject.Predmet.Referada.Prostorija.Oznaka>
    <izvorni_sadrzaj>DZ III 68</izvorni_sadrzaj>
    <derivirana_varijabla naziv="DomainObject.Predmet.Referada.Prostorija.Oznaka_1">DZ III 68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46. - M. Praljak </izvorni_sadrzaj>
    <derivirana_varijabla naziv="DomainObject.Predmet.TrenutnaLokacijaSpisa.Naziv_1">46. - M. Praljak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Kristina Švajger</izvorni_sadrzaj>
    <derivirana_varijabla naziv="DomainObject.Predmet.Zapisnicar_1">Kristina Švajger</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NIVOMA d.o.o.</item>
    </izvorni_sadrzaj>
    <derivirana_varijabla naziv="DomainObject.Predmet.ProtuStrankaListFormated_1">
      <item>NIVOMA d.o.o.</item>
    </derivirana_varijabla>
  </DomainObject.Predmet.ProtuStrankaListFormated>
  <DomainObject.Predmet.ProtuStrankaListFormatedOIB>
    <izvorni_sadrzaj>
      <item>NIVOMA d.o.o., OIB 08356942497</item>
    </izvorni_sadrzaj>
    <derivirana_varijabla naziv="DomainObject.Predmet.ProtuStrankaListFormatedOIB_1">
      <item>NIVOMA d.o.o., OIB 08356942497</item>
    </derivirana_varijabla>
  </DomainObject.Predmet.ProtuStrankaListFormatedOIB>
  <DomainObject.Predmet.ProtuStrankaListFormatedWithAdress>
    <izvorni_sadrzaj>
      <item>NIVOMA d.o.o., Jagodnjak 10, 10000 Zagreb</item>
    </izvorni_sadrzaj>
    <derivirana_varijabla naziv="DomainObject.Predmet.ProtuStrankaListFormatedWithAdress_1">
      <item>NIVOMA d.o.o., Jagodnjak 10, 10000 Zagreb</item>
    </derivirana_varijabla>
  </DomainObject.Predmet.ProtuStrankaListFormatedWithAdress>
  <DomainObject.Predmet.ProtuStrankaListFormatedWithAdressOIB>
    <izvorni_sadrzaj>
      <item>NIVOMA d.o.o., OIB 08356942497, Jagodnjak 10, 10000 Zagreb</item>
    </izvorni_sadrzaj>
    <derivirana_varijabla naziv="DomainObject.Predmet.ProtuStrankaListFormatedWithAdressOIB_1">
      <item>NIVOMA d.o.o., OIB 08356942497, Jagodnjak 10, 10000 Zagreb</item>
    </derivirana_varijabla>
  </DomainObject.Predmet.ProtuStrankaListFormatedWithAdressOIB>
  <DomainObject.Predmet.ProtuStrankaListNazivFormated>
    <izvorni_sadrzaj>
      <item>NIVOMA d.o.o.</item>
    </izvorni_sadrzaj>
    <derivirana_varijabla naziv="DomainObject.Predmet.ProtuStrankaListNazivFormated_1">
      <item>NIVOMA d.o.o.</item>
    </derivirana_varijabla>
  </DomainObject.Predmet.ProtuStrankaListNazivFormated>
  <DomainObject.Predmet.ProtuStrankaListNazivFormatedOIB>
    <izvorni_sadrzaj>
      <item>NIVOMA d.o.o., OIB 08356942497</item>
    </izvorni_sadrzaj>
    <derivirana_varijabla naziv="DomainObject.Predmet.ProtuStrankaListNazivFormatedOIB_1">
      <item>NIVOMA d.o.o., OIB 08356942497</item>
    </derivirana_varijabla>
  </DomainObject.Predmet.ProtuStrankaListNazivFormatedOIB>
  <DomainObject.Predmet.OstaliListFormated>
    <izvorni_sadrzaj>
      <item>Nika Vodanović</item>
      <item>PRIVREDNA BANKA ZAGREB - DIONIČKO DRUŠTVO</item>
    </izvorni_sadrzaj>
    <derivirana_varijabla naziv="DomainObject.Predmet.OstaliListFormated_1">
      <item>Nika Vodanović</item>
      <item>PRIVREDNA BANKA ZAGREB - DIONIČKO DRUŠTVO</item>
    </derivirana_varijabla>
  </DomainObject.Predmet.OstaliListFormated>
  <DomainObject.Predmet.OstaliListFormatedOIB>
    <izvorni_sadrzaj>
      <item>Nika Vodanović, OIB 99713885590</item>
      <item>PRIVREDNA BANKA ZAGREB - DIONIČKO DRUŠTVO, OIB 02535697732</item>
    </izvorni_sadrzaj>
    <derivirana_varijabla naziv="DomainObject.Predmet.OstaliListFormatedOIB_1">
      <item>Nika Vodanović, OIB 99713885590</item>
      <item>PRIVREDNA BANKA ZAGREB - DIONIČKO DRUŠTVO, OIB 02535697732</item>
    </derivirana_varijabla>
  </DomainObject.Predmet.OstaliListFormatedOIB>
  <DomainObject.Predmet.OstaliListFormatedWithAdress>
    <izvorni_sadrzaj>
      <item>Nika Vodanović, Jagodnjak 10, 10000 Zagreb</item>
      <item>PRIVREDNA BANKA ZAGREB - DIONIČKO DRUŠTVO, Radnička cesta 50, 10000 Zagreb</item>
    </izvorni_sadrzaj>
    <derivirana_varijabla naziv="DomainObject.Predmet.OstaliListFormatedWithAdress_1">
      <item>Nika Vodanović, Jagodnjak 10, 10000 Zagreb</item>
      <item>PRIVREDNA BANKA ZAGREB - DIONIČKO DRUŠTVO, Radnička cesta 50, 10000 Zagreb</item>
    </derivirana_varijabla>
  </DomainObject.Predmet.OstaliListFormatedWithAdress>
  <DomainObject.Predmet.OstaliListFormatedWithAdressOIB>
    <izvorni_sadrzaj>
      <item>Nika Vodanović, OIB 99713885590, Jagodnjak 10, 10000 Zagreb</item>
      <item>PRIVREDNA BANKA ZAGREB - DIONIČKO DRUŠTVO, OIB 02535697732, Radnička cesta 50, 10000 Zagreb</item>
    </izvorni_sadrzaj>
    <derivirana_varijabla naziv="DomainObject.Predmet.OstaliListFormatedWithAdressOIB_1">
      <item>Nika Vodanović, OIB 99713885590, Jagodnjak 10, 10000 Zagreb</item>
      <item>PRIVREDNA BANKA ZAGREB - DIONIČKO DRUŠTVO, OIB 02535697732, Radnička cesta 50, 10000 Zagreb</item>
    </derivirana_varijabla>
  </DomainObject.Predmet.OstaliListFormatedWithAdressOIB>
  <DomainObject.Predmet.OstaliListNazivFormated>
    <izvorni_sadrzaj>
      <item>Nika Vodanović</item>
      <item>PRIVREDNA BANKA ZAGREB - DIONIČKO DRUŠTVO</item>
    </izvorni_sadrzaj>
    <derivirana_varijabla naziv="DomainObject.Predmet.OstaliListNazivFormated_1">
      <item>Nika Vodanović</item>
      <item>PRIVREDNA BANKA ZAGREB - DIONIČKO DRUŠTVO</item>
    </derivirana_varijabla>
  </DomainObject.Predmet.OstaliListNazivFormated>
  <DomainObject.Predmet.OstaliListNazivFormatedOIB>
    <izvorni_sadrzaj>
      <item>Nika Vodanović, OIB 99713885590</item>
      <item>PRIVREDNA BANKA ZAGREB - DIONIČKO DRUŠTVO, OIB 02535697732</item>
    </izvorni_sadrzaj>
    <derivirana_varijabla naziv="DomainObject.Predmet.OstaliListNazivFormatedOIB_1">
      <item>Nika Vodanović, OIB 99713885590</item>
      <item>PRIVREDNA BANKA ZAGREB - DIONIČKO DRUŠTVO, OIB 02535697732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siječnja 2019.</izvorni_sadrzaj>
    <derivirana_varijabla naziv="DomainObject.Datum_1">22. siječnja 2019.</derivirana_varijabla>
  </DomainObject.Datum>
  <DomainObject.PoslovniBrojDokumenta>
    <izvorni_sadrzaj>St-2567/2018-14</izvorni_sadrzaj>
    <derivirana_varijabla naziv="DomainObject.PoslovniBrojDokumenta_1">St-2567/2018-14</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NIVOMA d.o.o.</izvorni_sadrzaj>
    <derivirana_varijabla naziv="DomainObject.Predmet.ProtustrankaIDrugi_1">NIVOMA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NIVOMA d.o.o., OIB 08356942497, Jagodnjak 10, 10000 Zagreb</izvorni_sadrzaj>
    <derivirana_varijabla naziv="DomainObject.Predmet.ProtustrankaIDrugiAdressOIB_1">NIVOMA d.o.o., OIB 08356942497, Jagodnjak 10,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NIVOMA d.o.o.</item>
      <item>Nika Vodanović</item>
      <item>PRIVREDNA BANKA ZAGREB - DIONIČKO DRUŠTVO</item>
    </izvorni_sadrzaj>
    <derivirana_varijabla naziv="DomainObject.Predmet.SudioniciListNaziv_1">
      <item>FINA Regionalni centar Zagreb</item>
      <item>NIVOMA d.o.o.</item>
      <item>Nika Vodanović</item>
      <item>PRIVREDNA BANKA ZAGREB - DIONIČKO DRUŠTVO</item>
    </derivirana_varijabla>
  </DomainObject.Predmet.SudioniciListNaziv>
  <DomainObject.Predmet.SudioniciListAdressOIB>
    <izvorni_sadrzaj>
      <item>FINA Regionalni centar Zagreb, OIB 85821130368, Trg svibanjskih žrtava 1995. 1,10000 Zagreb</item>
      <item>NIVOMA d.o.o., OIB 08356942497, Jagodnjak 10,10000 Zagreb</item>
      <item>Nika Vodanović, OIB 99713885590, Jagodnjak 10,10000 Zagreb</item>
      <item>PRIVREDNA BANKA ZAGREB - DIONIČKO DRUŠTVO, OIB 02535697732, Radnička cesta 50,10000 Zagreb</item>
    </izvorni_sadrzaj>
    <derivirana_varijabla naziv="DomainObject.Predmet.SudioniciListAdressOIB_1">
      <item>FINA Regionalni centar Zagreb, OIB 85821130368, Trg svibanjskih žrtava 1995. 1,10000 Zagreb</item>
      <item>NIVOMA d.o.o., OIB 08356942497, Jagodnjak 10,10000 Zagreb</item>
      <item>Nika Vodanović, OIB 99713885590, Jagodnjak 10,10000 Zagreb</item>
      <item>PRIVREDNA BANKA ZAGREB - DIONIČKO DRUŠTVO, OIB 02535697732, Radnička cesta 50,10000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08356942497</item>
      <item>, OIB 99713885590</item>
      <item>, OIB 02535697732</item>
    </izvorni_sadrzaj>
    <derivirana_varijabla naziv="DomainObject.Predmet.SudioniciListNazivOIB_1">
      <item>, OIB 85821130368</item>
      <item>, OIB 08356942497</item>
      <item>, OIB 99713885590</item>
      <item>, OIB 02535697732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Lovorka Juranović, OIB 83481633615, Verdieva 6/III, 51000 Rijeka</item>
    </izvorni_sadrzaj>
    <derivirana_varijabla naziv="DomainObject.Predmet.StecajniUpraviteljiListAddressOIB_1">
      <item>Lovorka Juranović, OIB 83481633615, Verdieva 6/III, 51000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22. siječnja 2019.</izvorni_sadrzaj>
    <derivirana_varijabla naziv="DomainObject.Predmet.DatumZadnjeOdrzaneSudskeRadnje_1">22. siječnja 2019.</derivirana_varijabla>
  </DomainObject.Predmet.DatumZadnjeOdrzaneSudskeRadnje>
  <DomainObject.PredzadnjaOdlukaIzPredmeta.DatumDonosenjaOdluke>
    <izvorni_sadrzaj>12. prosinca 2018.</izvorni_sadrzaj>
    <derivirana_varijabla naziv="DomainObject.PredzadnjaOdlukaIzPredmeta.DatumDonosenjaOdluke_1">12. prosinca 2018.</derivirana_varijabla>
  </DomainObject.PredzadnjaOdlukaIzPredmeta.DatumDonosenjaOdluke>
  <DomainObject.PredzadnjaOdlukaIzPredmeta.Oznaka>
    <izvorni_sadrzaj>St-2567/2018-10</izvorni_sadrzaj>
    <derivirana_varijabla naziv="DomainObject.PredzadnjaOdlukaIzPredmeta.Oznaka_1">St-2567/2018-10</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770</properties:Words>
  <properties:Characters>4123</properties:Characters>
  <properties:Lines>92</properties:Lines>
  <properties:Paragraphs>28</properties:Paragraphs>
  <properties:TotalTime>135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4924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2019-01-22T08:05:00Z</dcterms:created>
  <dc:creator>Maja Praljak</dc:creator>
  <dc:description/>
  <cp:keywords/>
  <cp:lastModifiedBy>Nikolina Krunić</cp:lastModifiedBy>
  <cp:lastPrinted>2019-01-22T12:36:00Z</cp:lastPrinted>
  <dcterms:modified xmlns:xsi="http://www.w3.org/2001/XMLSchema-instance" xsi:type="dcterms:W3CDTF">2019-01-22T12:36:00Z</dcterms:modified>
  <cp:revision>13</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St-2567/2018-14 / Odluka - Rješenje o imenovanju privremenog stečajnog upravitelja (6._Imenovanje_privremenog._imenovanje_privremenog)</vt:lpwstr>
  </prop:property>
  <prop:property name="CC_coloring" pid="4" fmtid="{D5CDD505-2E9C-101B-9397-08002B2CF9AE}">
    <vt:bool>false</vt:bool>
  </prop:property>
  <prop:property name="BrojStranica" pid="5" fmtid="{D5CDD505-2E9C-101B-9397-08002B2CF9AE}">
    <vt:i4>2</vt:i4>
  </prop:property>
</prop:Properties>
</file>