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e925" w14:paraId="096e925" w:rsidRDefault="00AA6F00" w:rsidP="00AA6F00" w:rsidR="00AA6F00">
      <w:pPr>
        <w:pStyle w:val="NormaleSPIS"/>
        <w15:collapsed w:val="false"/>
      </w:pPr>
      <w:bookmarkStart w:name="_GoBack" w:id="0"/>
      <w:bookmarkEnd w:id="0"/>
    </w:p>
    <w:p w:rsidRDefault="00AA6F00" w:rsidP="00AA6F00" w:rsidR="00AA6F00">
      <w:pPr>
        <w:pStyle w:val="NormaleSPIS"/>
      </w:pPr>
    </w:p>
    <w:p w:rsidRDefault="00AA6F00" w:rsidP="00AA6F00" w:rsidR="00AA6F0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St-1076/2016</w:t>
      </w: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SUDU  ZADRU</w:t>
      </w: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R E P U B L I K A  H R V A T S K A </w:t>
      </w: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 po sutkinji tog suda Terezija Goreta, u stečajnom postupku nad stečajnim dužnikom IDS d.o.o. iz Šibenika, Industrijska zona </w:t>
      </w:r>
      <w:proofErr w:type="spellStart"/>
      <w:r>
        <w:rPr>
          <w:rFonts w:cs="Times New Roman" w:eastAsia="Calibri"/>
        </w:rPr>
        <w:t>Podi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Dolačka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bb</w:t>
      </w:r>
      <w:proofErr w:type="spellEnd"/>
      <w:r>
        <w:rPr>
          <w:rFonts w:cs="Times New Roman" w:eastAsia="Calibri"/>
        </w:rPr>
        <w:t xml:space="preserve">, OIB: 31100809064, zastupan po stečajnom upravitelju Krešimiru </w:t>
      </w:r>
      <w:proofErr w:type="spellStart"/>
      <w:r>
        <w:rPr>
          <w:rFonts w:cs="Times New Roman" w:eastAsia="Calibri"/>
        </w:rPr>
        <w:t>Peroš</w:t>
      </w:r>
      <w:proofErr w:type="spellEnd"/>
      <w:r>
        <w:rPr>
          <w:rFonts w:cs="Times New Roman" w:eastAsia="Calibri"/>
        </w:rPr>
        <w:t xml:space="preserve"> iz Zadra, dana </w:t>
      </w:r>
      <w:r w:rsidR="00A466CF">
        <w:rPr>
          <w:rFonts w:cs="Times New Roman" w:eastAsia="Calibri"/>
        </w:rPr>
        <w:t>12</w:t>
      </w:r>
      <w:r>
        <w:rPr>
          <w:rFonts w:cs="Times New Roman" w:eastAsia="Calibri"/>
        </w:rPr>
        <w:t>. studenog 2018. godine,</w:t>
      </w: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I.</w:t>
      </w:r>
      <w:r>
        <w:rPr>
          <w:rFonts w:cs="Times New Roman" w:eastAsia="Calibri"/>
        </w:rPr>
        <w:tab/>
        <w:t>Daje se suglasnost na završnu diobu stečajne mase od 03. veljače 2017. godine.</w:t>
      </w: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II.</w:t>
      </w:r>
      <w:r>
        <w:rPr>
          <w:rFonts w:cs="Times New Roman" w:eastAsia="Calibri"/>
        </w:rPr>
        <w:tab/>
      </w:r>
      <w:r w:rsidR="001E69A5">
        <w:rPr>
          <w:rFonts w:cs="Times New Roman" w:eastAsia="Calibri"/>
        </w:rPr>
        <w:t xml:space="preserve">Nakon namirenja troškova stečajnog postupka u iznosu od 48.432,99 kuna, za diobu ostaje preostali iznos od 332.782,07 kuna a kojim iznosom se </w:t>
      </w:r>
      <w:r w:rsidR="00324EE6">
        <w:rPr>
          <w:rFonts w:cs="Times New Roman" w:eastAsia="Calibri"/>
        </w:rPr>
        <w:t xml:space="preserve">djelomično namiruju </w:t>
      </w:r>
      <w:proofErr w:type="spellStart"/>
      <w:r w:rsidR="00324EE6">
        <w:rPr>
          <w:rFonts w:cs="Times New Roman" w:eastAsia="Calibri"/>
        </w:rPr>
        <w:t>razlučni</w:t>
      </w:r>
      <w:proofErr w:type="spellEnd"/>
      <w:r w:rsidR="00324EE6">
        <w:rPr>
          <w:rFonts w:cs="Times New Roman" w:eastAsia="Calibri"/>
        </w:rPr>
        <w:t xml:space="preserve"> vjerovnici IDS </w:t>
      </w:r>
      <w:proofErr w:type="spellStart"/>
      <w:r w:rsidR="00324EE6">
        <w:rPr>
          <w:rFonts w:cs="Times New Roman" w:eastAsia="Calibri"/>
        </w:rPr>
        <w:t>Industrieservice</w:t>
      </w:r>
      <w:proofErr w:type="spellEnd"/>
      <w:r w:rsidR="00324EE6">
        <w:rPr>
          <w:rFonts w:cs="Times New Roman" w:eastAsia="Calibri"/>
        </w:rPr>
        <w:t xml:space="preserve"> </w:t>
      </w:r>
      <w:proofErr w:type="spellStart"/>
      <w:r w:rsidR="00324EE6">
        <w:rPr>
          <w:rFonts w:cs="Times New Roman" w:eastAsia="Calibri"/>
        </w:rPr>
        <w:t>Anlagenbau</w:t>
      </w:r>
      <w:proofErr w:type="spellEnd"/>
      <w:r w:rsidR="00324EE6">
        <w:rPr>
          <w:rFonts w:cs="Times New Roman" w:eastAsia="Calibri"/>
        </w:rPr>
        <w:t xml:space="preserve"> sa sjedištem u Njemačkoj, </w:t>
      </w:r>
      <w:proofErr w:type="spellStart"/>
      <w:r w:rsidR="00324EE6">
        <w:rPr>
          <w:rFonts w:cs="Times New Roman" w:eastAsia="Calibri"/>
        </w:rPr>
        <w:t>Oberhausen</w:t>
      </w:r>
      <w:proofErr w:type="spellEnd"/>
      <w:r w:rsidR="00324EE6">
        <w:rPr>
          <w:rFonts w:cs="Times New Roman" w:eastAsia="Calibri"/>
        </w:rPr>
        <w:t xml:space="preserve">, </w:t>
      </w:r>
      <w:proofErr w:type="spellStart"/>
      <w:r w:rsidR="00324EE6">
        <w:rPr>
          <w:rFonts w:cs="Times New Roman" w:eastAsia="Calibri"/>
        </w:rPr>
        <w:t>Max</w:t>
      </w:r>
      <w:proofErr w:type="spellEnd"/>
      <w:r w:rsidR="00324EE6">
        <w:rPr>
          <w:rFonts w:cs="Times New Roman" w:eastAsia="Calibri"/>
        </w:rPr>
        <w:t xml:space="preserve"> </w:t>
      </w:r>
      <w:proofErr w:type="spellStart"/>
      <w:r w:rsidR="00324EE6">
        <w:rPr>
          <w:rFonts w:cs="Times New Roman" w:eastAsia="Calibri"/>
        </w:rPr>
        <w:t>Planck</w:t>
      </w:r>
      <w:proofErr w:type="spellEnd"/>
      <w:r w:rsidR="00324EE6">
        <w:rPr>
          <w:rFonts w:cs="Times New Roman" w:eastAsia="Calibri"/>
        </w:rPr>
        <w:t xml:space="preserve">-Ring 40, OIB: 38724852760, i </w:t>
      </w:r>
      <w:proofErr w:type="spellStart"/>
      <w:r w:rsidR="00324EE6">
        <w:rPr>
          <w:rFonts w:cs="Times New Roman" w:eastAsia="Calibri"/>
        </w:rPr>
        <w:t>razlučni</w:t>
      </w:r>
      <w:proofErr w:type="spellEnd"/>
      <w:r w:rsidR="00324EE6">
        <w:rPr>
          <w:rFonts w:cs="Times New Roman" w:eastAsia="Calibri"/>
        </w:rPr>
        <w:t xml:space="preserve"> vjerovnik Republika Hrvatska, Ministarstvo financija, Porezna uprava, Područni ured Dalmacija, sa sjedištem u Šibeniku, Hrvatske mornarice 3, OIB: 18683136487.   </w:t>
      </w:r>
    </w:p>
    <w:p w:rsidRDefault="00324EE6" w:rsidP="00AA6F00" w:rsidR="00324EE6">
      <w:pPr>
        <w:spacing w:after="0"/>
        <w:jc w:val="both"/>
        <w:rPr>
          <w:rFonts w:cs="Times New Roman" w:eastAsia="Calibri"/>
        </w:rPr>
      </w:pP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III</w:t>
      </w:r>
      <w:r>
        <w:rPr>
          <w:rFonts w:cs="Times New Roman" w:eastAsia="Calibri"/>
        </w:rPr>
        <w:tab/>
        <w:t xml:space="preserve">Završno ročište vjerovnika određuje se za </w:t>
      </w:r>
      <w:r w:rsidR="00324EE6" w:rsidRPr="00A466CF">
        <w:rPr>
          <w:rFonts w:cs="Times New Roman" w:eastAsia="Calibri"/>
          <w:b/>
        </w:rPr>
        <w:t xml:space="preserve">13. </w:t>
      </w:r>
      <w:r w:rsidR="00546CFE" w:rsidRPr="00A466CF">
        <w:rPr>
          <w:rFonts w:cs="Times New Roman" w:eastAsia="Calibri"/>
          <w:b/>
        </w:rPr>
        <w:t>p</w:t>
      </w:r>
      <w:r w:rsidR="00324EE6" w:rsidRPr="00A466CF">
        <w:rPr>
          <w:rFonts w:cs="Times New Roman" w:eastAsia="Calibri"/>
          <w:b/>
        </w:rPr>
        <w:t>rosinca 201</w:t>
      </w:r>
      <w:r w:rsidR="00A466CF" w:rsidRPr="00A466CF">
        <w:rPr>
          <w:rFonts w:cs="Times New Roman" w:eastAsia="Calibri"/>
          <w:b/>
        </w:rPr>
        <w:t>8</w:t>
      </w:r>
      <w:r w:rsidR="00324EE6" w:rsidRPr="00A466CF">
        <w:rPr>
          <w:rFonts w:cs="Times New Roman" w:eastAsia="Calibri"/>
          <w:b/>
        </w:rPr>
        <w:t xml:space="preserve">. </w:t>
      </w:r>
      <w:r w:rsidR="00546CFE" w:rsidRPr="00A466CF">
        <w:rPr>
          <w:rFonts w:cs="Times New Roman" w:eastAsia="Calibri"/>
          <w:b/>
        </w:rPr>
        <w:t>g</w:t>
      </w:r>
      <w:r w:rsidR="00324EE6" w:rsidRPr="00A466CF">
        <w:rPr>
          <w:rFonts w:cs="Times New Roman" w:eastAsia="Calibri"/>
          <w:b/>
        </w:rPr>
        <w:t>odine u 09,30</w:t>
      </w:r>
      <w:r w:rsidR="00324EE6">
        <w:rPr>
          <w:rFonts w:cs="Times New Roman" w:eastAsia="Calibri"/>
        </w:rPr>
        <w:t xml:space="preserve"> sati, </w:t>
      </w:r>
      <w:r>
        <w:rPr>
          <w:rFonts w:cs="Times New Roman" w:eastAsia="Calibri"/>
        </w:rPr>
        <w:t xml:space="preserve"> te će se održati u prostorijama Trgovačkog suda u Zadru, Stalna služba u Šibeniku, Stjepana Radića 81, Šibenik  sudnica broj 212, sa slijedećim dnevnim redom:</w:t>
      </w:r>
    </w:p>
    <w:p w:rsidRDefault="00AA6F00" w:rsidP="00AA6F00" w:rsidR="00AA6F00">
      <w:pPr>
        <w:spacing w:after="0"/>
        <w:jc w:val="both"/>
        <w:rPr>
          <w:rFonts w:cs="Times New Roman" w:eastAsia="Calibri"/>
        </w:rPr>
      </w:pPr>
    </w:p>
    <w:p w:rsidRDefault="00AA6F00" w:rsidP="00AA6F00" w:rsidR="00AA6F00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Prihvaća se završni račun stečajnog upravitelja </w:t>
      </w:r>
      <w:r w:rsidR="001E69A5">
        <w:rPr>
          <w:rFonts w:cs="Times New Roman" w:eastAsia="Calibri"/>
        </w:rPr>
        <w:t>03. prosinca 2017. godine</w:t>
      </w:r>
    </w:p>
    <w:p w:rsidRDefault="00AA6F00" w:rsidP="00AA6F00" w:rsidR="00AA6F00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>Prihvaća se prijedlog završne diobe</w:t>
      </w:r>
    </w:p>
    <w:p w:rsidRDefault="00AA6F00" w:rsidP="00AA6F00" w:rsidR="00AA6F00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>Prihvaća</w:t>
      </w:r>
      <w:r w:rsidR="001E69A5">
        <w:rPr>
          <w:rFonts w:cs="Times New Roman" w:eastAsia="Calibri"/>
        </w:rPr>
        <w:t xml:space="preserve"> se i utvrđuje nagrada stečajnom upravitelju</w:t>
      </w:r>
      <w:r>
        <w:rPr>
          <w:rFonts w:cs="Times New Roman" w:eastAsia="Calibri"/>
        </w:rPr>
        <w:t xml:space="preserve"> u predloženom iznosu</w:t>
      </w:r>
    </w:p>
    <w:p w:rsidRDefault="00AA6F00" w:rsidP="00AA6F00" w:rsidR="00AA6F00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Prihvaća se i odobrava isplata troškova stečajnog postupka u predloženom iznosu</w:t>
      </w:r>
    </w:p>
    <w:p w:rsidRDefault="00AA6F00" w:rsidP="00AA6F00" w:rsidR="00AA6F00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>Donošenje odluke o obustavi i zaključenju stečajnog postupka</w:t>
      </w: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</w:p>
    <w:p w:rsidRDefault="00AA6F00" w:rsidP="00AA6F00" w:rsidR="00546C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Rješenjem ovog suda poslovni broj </w:t>
      </w:r>
      <w:r w:rsidR="001E69A5">
        <w:rPr>
          <w:rFonts w:cs="Times New Roman" w:eastAsia="Calibri"/>
        </w:rPr>
        <w:t xml:space="preserve">9 </w:t>
      </w:r>
      <w:r>
        <w:rPr>
          <w:rFonts w:cs="Times New Roman" w:eastAsia="Calibri"/>
        </w:rPr>
        <w:t>St-</w:t>
      </w:r>
      <w:r w:rsidR="001E69A5">
        <w:rPr>
          <w:rFonts w:cs="Times New Roman" w:eastAsia="Calibri"/>
        </w:rPr>
        <w:t>674/2015. od dana 03. prosinca 2016. godine</w:t>
      </w:r>
      <w:r>
        <w:rPr>
          <w:rFonts w:cs="Times New Roman" w:eastAsia="Calibri"/>
        </w:rPr>
        <w:t xml:space="preserve"> otvoren je stečajni postupak nad uvodno oz</w:t>
      </w:r>
      <w:r w:rsidR="001E69A5">
        <w:rPr>
          <w:rFonts w:cs="Times New Roman" w:eastAsia="Calibri"/>
        </w:rPr>
        <w:t>načenim dužnikom te je stečajnim upraviteljem</w:t>
      </w:r>
      <w:r>
        <w:rPr>
          <w:rFonts w:cs="Times New Roman" w:eastAsia="Calibri"/>
        </w:rPr>
        <w:t xml:space="preserve"> i</w:t>
      </w:r>
      <w:r w:rsidR="001E69A5">
        <w:rPr>
          <w:rFonts w:cs="Times New Roman" w:eastAsia="Calibri"/>
        </w:rPr>
        <w:t xml:space="preserve">menovan </w:t>
      </w:r>
      <w:proofErr w:type="spellStart"/>
      <w:r w:rsidR="001E69A5">
        <w:rPr>
          <w:rFonts w:cs="Times New Roman" w:eastAsia="Calibri"/>
        </w:rPr>
        <w:t>Vencel</w:t>
      </w:r>
      <w:proofErr w:type="spellEnd"/>
      <w:r w:rsidR="001E69A5">
        <w:rPr>
          <w:rFonts w:cs="Times New Roman" w:eastAsia="Calibri"/>
        </w:rPr>
        <w:t xml:space="preserve"> </w:t>
      </w:r>
      <w:proofErr w:type="spellStart"/>
      <w:r w:rsidR="001E69A5">
        <w:rPr>
          <w:rFonts w:cs="Times New Roman" w:eastAsia="Calibri"/>
        </w:rPr>
        <w:t>Čuljak</w:t>
      </w:r>
      <w:proofErr w:type="spellEnd"/>
      <w:r w:rsidR="001E69A5">
        <w:rPr>
          <w:rFonts w:cs="Times New Roman" w:eastAsia="Calibri"/>
        </w:rPr>
        <w:t xml:space="preserve"> iz Osijeka, koji je rješenjem poslovni broj 9 St-674/2015. </w:t>
      </w:r>
      <w:r w:rsidR="00546CFE">
        <w:rPr>
          <w:rFonts w:cs="Times New Roman" w:eastAsia="Calibri"/>
        </w:rPr>
        <w:t xml:space="preserve">od 05. listopada 2016. godine u kojem se određuje nastavak postupka, imenovani stečajni upravitelj </w:t>
      </w:r>
      <w:r w:rsidR="001E69A5">
        <w:rPr>
          <w:rFonts w:cs="Times New Roman" w:eastAsia="Calibri"/>
        </w:rPr>
        <w:t xml:space="preserve">razriješen te dužnosti, te je </w:t>
      </w:r>
      <w:r w:rsidR="00546CFE">
        <w:rPr>
          <w:rFonts w:cs="Times New Roman" w:eastAsia="Calibri"/>
        </w:rPr>
        <w:t xml:space="preserve">primjenom metode slučajnog odabira za stečajnog upravitelja s liste "A" imenovan Krešimir </w:t>
      </w:r>
      <w:proofErr w:type="spellStart"/>
      <w:r w:rsidR="00546CFE">
        <w:rPr>
          <w:rFonts w:cs="Times New Roman" w:eastAsia="Calibri"/>
        </w:rPr>
        <w:t>Per</w:t>
      </w:r>
      <w:r w:rsidR="001E69A5">
        <w:rPr>
          <w:rFonts w:cs="Times New Roman" w:eastAsia="Calibri"/>
        </w:rPr>
        <w:t>oš</w:t>
      </w:r>
      <w:proofErr w:type="spellEnd"/>
      <w:r w:rsidR="001E69A5">
        <w:rPr>
          <w:rFonts w:cs="Times New Roman" w:eastAsia="Calibri"/>
        </w:rPr>
        <w:t xml:space="preserve"> iz Zadra, Ivana Gundulića 4d, OIB: 37835605570</w:t>
      </w:r>
      <w:r w:rsidR="00546CFE">
        <w:rPr>
          <w:rFonts w:cs="Times New Roman" w:eastAsia="Calibri"/>
        </w:rPr>
        <w:t>.</w:t>
      </w: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Uz podnesak  </w:t>
      </w:r>
      <w:r w:rsidR="00546CFE">
        <w:rPr>
          <w:rFonts w:cs="Times New Roman" w:eastAsia="Calibri"/>
        </w:rPr>
        <w:t>03. prosinca 2017. godine stečajni upravitelj dostavio</w:t>
      </w:r>
      <w:r>
        <w:rPr>
          <w:rFonts w:cs="Times New Roman" w:eastAsia="Calibri"/>
        </w:rPr>
        <w:t xml:space="preserve"> j</w:t>
      </w:r>
      <w:r w:rsidR="00546CFE">
        <w:rPr>
          <w:rFonts w:cs="Times New Roman" w:eastAsia="Calibri"/>
        </w:rPr>
        <w:t>e završni račun te je predložio</w:t>
      </w:r>
      <w:r>
        <w:rPr>
          <w:rFonts w:cs="Times New Roman" w:eastAsia="Calibri"/>
        </w:rPr>
        <w:t xml:space="preserve"> da se pristupi završnoj diobi, da se zakaže završno ročište i zaključi stečajni postupak. </w:t>
      </w:r>
    </w:p>
    <w:p w:rsidRDefault="00546CFE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Iz izvješća stečajnog upravitelja</w:t>
      </w:r>
      <w:r w:rsidR="00AA6F00">
        <w:rPr>
          <w:rFonts w:cs="Times New Roman" w:eastAsia="Calibri"/>
        </w:rPr>
        <w:t xml:space="preserve"> i iz dokumentacije u spisu vidljivo je da je nakon unovčenja stečajne mase, a po podmirenju troškova stečajnog postupka i ostalih obveza stečajne mase preostao raspoloživi iznos od </w:t>
      </w:r>
      <w:r>
        <w:rPr>
          <w:rFonts w:cs="Times New Roman" w:eastAsia="Calibri"/>
        </w:rPr>
        <w:t>332.782,07 kuna slijedom čega je stečajni upravitelj predložio</w:t>
      </w:r>
      <w:r w:rsidR="00AA6F00">
        <w:rPr>
          <w:rFonts w:cs="Times New Roman" w:eastAsia="Calibri"/>
        </w:rPr>
        <w:t xml:space="preserve"> da se navedenim iznoso</w:t>
      </w:r>
      <w:r>
        <w:rPr>
          <w:rFonts w:cs="Times New Roman" w:eastAsia="Calibri"/>
        </w:rPr>
        <w:t xml:space="preserve">m djelomično (razmjerno) namire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vjerovnici.</w:t>
      </w: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se iz stečajne mase najprije namiruju troškovi stečajnog postupka i ostale obveze stečajne mase (čl. 85. st. 1. Stečajnog zakona - „Narodne novine“ broj  44/96, 29/99, 129/00, 123/03, 82/06, 116/10, 25/12 i 133/12; dalje: SZ), ovaj sud</w:t>
      </w:r>
      <w:r w:rsidR="00546CFE">
        <w:rPr>
          <w:rFonts w:cs="Times New Roman" w:eastAsia="Calibri"/>
        </w:rPr>
        <w:t xml:space="preserve"> je prihvatio prijedlog stečajnog upravitelja</w:t>
      </w:r>
      <w:r>
        <w:rPr>
          <w:rFonts w:cs="Times New Roman" w:eastAsia="Calibri"/>
        </w:rPr>
        <w:t xml:space="preserve"> da se od preostalog raspoloživog iznosa</w:t>
      </w:r>
      <w:r w:rsidR="00546CFE">
        <w:rPr>
          <w:rFonts w:cs="Times New Roman" w:eastAsia="Calibri"/>
        </w:rPr>
        <w:t xml:space="preserve"> stečajne mase djelomično namire </w:t>
      </w:r>
      <w:proofErr w:type="spellStart"/>
      <w:r w:rsidR="00546CFE">
        <w:rPr>
          <w:rFonts w:cs="Times New Roman" w:eastAsia="Calibri"/>
        </w:rPr>
        <w:t>razlučni</w:t>
      </w:r>
      <w:proofErr w:type="spellEnd"/>
      <w:r w:rsidR="00546CFE">
        <w:rPr>
          <w:rFonts w:cs="Times New Roman" w:eastAsia="Calibri"/>
        </w:rPr>
        <w:t xml:space="preserve"> vjerovnici.</w:t>
      </w: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primjenom odredbe čl. 192. i 193. SZ-a.</w:t>
      </w:r>
    </w:p>
    <w:p w:rsidRDefault="00546CFE" w:rsidP="00AA6F00" w:rsidR="00546CFE">
      <w:pPr>
        <w:spacing w:after="0"/>
        <w:ind w:firstLine="708"/>
        <w:jc w:val="both"/>
        <w:rPr>
          <w:rFonts w:cs="Times New Roman" w:eastAsia="Calibri"/>
        </w:rPr>
      </w:pPr>
    </w:p>
    <w:p w:rsidRDefault="00AA6F00" w:rsidP="00AA6F00" w:rsidR="00AA6F00">
      <w:pPr>
        <w:spacing w:after="0"/>
        <w:jc w:val="center"/>
        <w:rPr>
          <w:rFonts w:cs="Times New Roman" w:eastAsia="Calibri"/>
        </w:rPr>
      </w:pPr>
    </w:p>
    <w:p w:rsidRDefault="00546CFE" w:rsidP="00AA6F00" w:rsidR="00AA6F0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A466CF">
        <w:rPr>
          <w:rFonts w:cs="Times New Roman" w:eastAsia="Calibri"/>
        </w:rPr>
        <w:t>12</w:t>
      </w:r>
      <w:r w:rsidR="00AA6F00">
        <w:rPr>
          <w:rFonts w:cs="Times New Roman" w:eastAsia="Calibri"/>
        </w:rPr>
        <w:t xml:space="preserve">. </w:t>
      </w:r>
      <w:r w:rsidR="00A466CF">
        <w:rPr>
          <w:rFonts w:cs="Times New Roman" w:eastAsia="Calibri"/>
        </w:rPr>
        <w:t>studenog</w:t>
      </w:r>
      <w:r w:rsidR="00AA6F00">
        <w:rPr>
          <w:rFonts w:cs="Times New Roman" w:eastAsia="Calibri"/>
        </w:rPr>
        <w:t xml:space="preserve"> 201</w:t>
      </w:r>
      <w:r w:rsidR="00A466CF">
        <w:rPr>
          <w:rFonts w:cs="Times New Roman" w:eastAsia="Calibri"/>
        </w:rPr>
        <w:t>8</w:t>
      </w:r>
      <w:r w:rsidR="00AA6F00">
        <w:rPr>
          <w:rFonts w:cs="Times New Roman" w:eastAsia="Calibri"/>
        </w:rPr>
        <w:t>.g</w:t>
      </w:r>
      <w:r w:rsidR="00A466CF">
        <w:rPr>
          <w:rFonts w:cs="Times New Roman" w:eastAsia="Calibri"/>
        </w:rPr>
        <w:t>odine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ind w:left="7080"/>
        <w:rPr>
          <w:rFonts w:cs="Times New Roman" w:eastAsia="Calibri"/>
        </w:rPr>
      </w:pPr>
      <w:r>
        <w:rPr>
          <w:rFonts w:cs="Times New Roman" w:eastAsia="Calibri"/>
        </w:rPr>
        <w:t xml:space="preserve">    Sutkinja</w:t>
      </w:r>
    </w:p>
    <w:p w:rsidRDefault="00AA6F00" w:rsidP="00AA6F00" w:rsidR="00AA6F00">
      <w:pPr>
        <w:spacing w:after="0"/>
        <w:ind w:left="7080"/>
        <w:rPr>
          <w:rFonts w:cs="Times New Roman" w:eastAsia="Calibri"/>
        </w:rPr>
      </w:pPr>
    </w:p>
    <w:p w:rsidRDefault="00AA6F00" w:rsidP="00546CFE" w:rsidR="00AA6F00">
      <w:pPr>
        <w:spacing w:after="0"/>
        <w:ind w:left="7080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UPUTA O PRAVOM LIJEKU</w:t>
      </w:r>
    </w:p>
    <w:p w:rsidRDefault="00AA6F00" w:rsidP="00AA6F00" w:rsidR="00AA6F0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DNA</w:t>
      </w:r>
    </w:p>
    <w:p w:rsidRDefault="00546CFE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</w:t>
      </w:r>
      <w:r>
        <w:rPr>
          <w:rFonts w:cs="Times New Roman" w:eastAsia="Calibri"/>
        </w:rPr>
        <w:tab/>
        <w:t>stečajnom upra</w:t>
      </w:r>
      <w:r w:rsidR="00B33C92">
        <w:rPr>
          <w:rFonts w:cs="Times New Roman" w:eastAsia="Calibri"/>
        </w:rPr>
        <w:t xml:space="preserve">vitelju Krešimir </w:t>
      </w:r>
      <w:proofErr w:type="spellStart"/>
      <w:r w:rsidR="00B33C92">
        <w:rPr>
          <w:rFonts w:cs="Times New Roman" w:eastAsia="Calibri"/>
        </w:rPr>
        <w:t>Peroš</w:t>
      </w:r>
      <w:proofErr w:type="spellEnd"/>
      <w:r w:rsidR="00B33C92">
        <w:rPr>
          <w:rFonts w:cs="Times New Roman" w:eastAsia="Calibri"/>
        </w:rPr>
        <w:t xml:space="preserve"> iz Zadra</w:t>
      </w:r>
    </w:p>
    <w:p w:rsidRDefault="00AA6F00" w:rsidP="00AA6F00" w:rsidR="00AA6F0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</w:t>
      </w:r>
      <w:r>
        <w:rPr>
          <w:rFonts w:cs="Times New Roman" w:eastAsia="Calibri"/>
        </w:rPr>
        <w:tab/>
        <w:t xml:space="preserve">e-oglasna ploča </w:t>
      </w:r>
    </w:p>
    <w:p w:rsidRDefault="00AA6F00" w:rsidP="00AA6F00" w:rsidR="00AA6F00">
      <w:pPr>
        <w:spacing w:after="0"/>
        <w:rPr>
          <w:rFonts w:cs="Times New Roman" w:eastAsia="Calibri"/>
        </w:rPr>
      </w:pPr>
    </w:p>
    <w:p w:rsidRDefault="00AA6F00" w:rsidP="00AA6F00" w:rsidR="00AA6F0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A6F00" w:rsidP="00AA6F00" w:rsidR="00AA6F00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00"/>
    <w:rsid w:val="001E69A5"/>
    <w:rsid w:val="00324EE6"/>
    <w:rsid w:val="00546CFE"/>
    <w:rsid w:val="00993D90"/>
    <w:rsid w:val="00A466CF"/>
    <w:rsid w:val="00AA6F00"/>
    <w:rsid w:val="00AF502E"/>
    <w:rsid w:val="00B25F72"/>
    <w:rsid w:val="00B33C92"/>
    <w:rsid w:val="00B8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6F0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A6F0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A6F00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6F0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A6F0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A6F00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03.2.17.
- NAKNADNA DIOBA</izvorni_sadrzaj>
    <derivirana_varijabla naziv="DomainObject.Predmet.PrimjedbaSuca_1">- uvid 03.2.17.
- NAKNADNA DIOBA</derivirana_varijabla>
  </DomainObject.Predmet.PrimjedbaSuca>
  <DomainObject.Predmet.ProtustrankaFormated>
    <izvorni_sadrzaj>  Stečajna masa iza IDS d.o.o., za gradnju i servis industrijskih pogona u stečaju</izvorni_sadrzaj>
    <derivirana_varijabla naziv="DomainObject.Predmet.ProtustrankaFormated_1">  Stečajna masa iza IDS d.o.o., za gradnju i servis industrijskih pogona u stečaju</derivirana_varijabla>
  </DomainObject.Predmet.ProtustrankaFormated>
  <DomainObject.Predmet.ProtustrankaFormatedOIB>
    <izvorni_sadrzaj>  Stečajna masa iza IDS d.o.o., za gradnju i servis industrijskih pogona u stečaju, OIB 29022121413</izvorni_sadrzaj>
    <derivirana_varijabla naziv="DomainObject.Predmet.ProtustrankaFormatedOIB_1">  Stečajna masa iza IDS d.o.o., za gradnju i servis industrijskih pogona u stečaju, OIB 29022121413</derivirana_varijabla>
  </DomainObject.Predmet.ProtustrankaFormatedOIB>
  <DomainObject.Predmet.ProtustrankaFormatedWithAdress>
    <izvorni_sadrzaj> Stečajna masa iza IDS d.o.o., za gradnju i servis industrijskih pogona u stečaju, Ivana Gundulića 4/D, 23000 Zadar</izvorni_sadrzaj>
    <derivirana_varijabla naziv="DomainObject.Predmet.ProtustrankaFormatedWithAdress_1"> Stečajna masa iza IDS d.o.o., za gradnju i servis industrijskih pogona u stečaju, Ivana Gundulića 4/D, 23000 Zadar</derivirana_varijabla>
  </DomainObject.Predmet.ProtustrankaFormatedWithAdress>
  <DomainObject.Predmet.ProtustrankaFormatedWithAdressOIB>
    <izvorni_sadrzaj> Stečajna masa iza IDS d.o.o., za gradnju i servis industrijskih pogona u stečaju, OIB 29022121413, Ivana Gundulića 4/D, 23000 Zadar</izvorni_sadrzaj>
    <derivirana_varijabla naziv="DomainObject.Predmet.ProtustrankaFormatedWithAdressOIB_1"> Stečajna masa iza IDS d.o.o., za gradnju i servis industrijskih pogona u stečaju, OIB 29022121413, Ivana Gundulića 4/D, 23000 Zadar</derivirana_varijabla>
  </DomainObject.Predmet.ProtustrankaFormatedWithAdressOIB>
  <DomainObject.Predmet.ProtustrankaWithAdress>
    <izvorni_sadrzaj>Stečajna masa iza IDS d.o.o., za gradnju i servis industrijskih pogona u stečaju Ivana Gundulića 4/D, 23000 Zadar</izvorni_sadrzaj>
    <derivirana_varijabla naziv="DomainObject.Predmet.ProtustrankaWithAdress_1">Stečajna masa iza IDS d.o.o., za gradnju i servis industrijskih pogona u stečaju Ivana Gundulića 4/D, 23000 Zadar</derivirana_varijabla>
  </DomainObject.Predmet.ProtustrankaWithAdress>
  <DomainObject.Predmet.ProtustrankaWithAdressOIB>
    <izvorni_sadrzaj>Stečajna masa iza IDS d.o.o., za gradnju i servis industrijskih pogona u stečaju, OIB 29022121413, Ivana Gundulića 4/D, 23000 Zadar</izvorni_sadrzaj>
    <derivirana_varijabla naziv="DomainObject.Predmet.ProtustrankaWithAdressOIB_1">Stečajna masa iza IDS d.o.o., za gradnju i servis industrijskih pogona u stečaju, OIB 29022121413, Ivana Gundulića 4/D, 23000 Zadar</derivirana_varijabla>
  </DomainObject.Predmet.ProtustrankaWithAdressOIB>
  <DomainObject.Predmet.ProtustrankaNazivFormated>
    <izvorni_sadrzaj>Stečajna masa iza IDS d.o.o., za gradnju i servis industrijskih pogona u stečaju</izvorni_sadrzaj>
    <derivirana_varijabla naziv="DomainObject.Predmet.ProtustrankaNazivFormated_1">Stečajna masa iza IDS d.o.o., za gradnju i servis industrijskih pogona u stečaju</derivirana_varijabla>
  </DomainObject.Predmet.ProtustrankaNazivFormated>
  <DomainObject.Predmet.ProtustrankaNazivFormatedOIB>
    <izvorni_sadrzaj>Stečajna masa iza IDS d.o.o., za gradnju i servis industrijskih pogona u stečaju, OIB 29022121413</izvorni_sadrzaj>
    <derivirana_varijabla naziv="DomainObject.Predmet.ProtustrankaNazivFormatedOIB_1">Stečajna masa iza IDS d.o.o., za gradnju i servis industrijskih pogona u stečaju, OIB 29022121413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IDS d.o.o., za gradnju i servis industrijskih pogona u stečaju</item>
    </izvorni_sadrzaj>
    <derivirana_varijabla naziv="DomainObject.Predmet.ProtuStrankaListFormated_1">
      <item>Stečajna masa iza IDS d.o.o., za gradnju i servis industrijskih pogona u stečaju</item>
    </derivirana_varijabla>
  </DomainObject.Predmet.ProtuStrankaListFormated>
  <DomainObject.Predmet.ProtuStrankaListFormatedOIB>
    <izvorni_sadrzaj>
      <item>Stečajna masa iza IDS d.o.o., za gradnju i servis industrijskih pogona u stečaju, OIB 29022121413</item>
    </izvorni_sadrzaj>
    <derivirana_varijabla naziv="DomainObject.Predmet.ProtuStrankaListFormatedOIB_1">
      <item>Stečajna masa iza IDS d.o.o., za gradnju i servis industrijskih pogona u stečaju, OIB 29022121413</item>
    </derivirana_varijabla>
  </DomainObject.Predmet.ProtuStrankaListFormatedOIB>
  <DomainObject.Predmet.ProtuStrankaListFormatedWithAdress>
    <izvorni_sadrzaj>
      <item>Stečajna masa iza IDS d.o.o., za gradnju i servis industrijskih pogona u stečaju, Ivana Gundulića 4/D, 23000 Zadar</item>
    </izvorni_sadrzaj>
    <derivirana_varijabla naziv="DomainObject.Predmet.ProtuStrankaListFormatedWithAdress_1">
      <item>Stečajna masa iza IDS d.o.o., za gradnju i servis industrijskih pogona u stečaju, Ivana Gundulića 4/D, 23000 Zadar</item>
    </derivirana_varijabla>
  </DomainObject.Predmet.ProtuStrankaListFormatedWithAdress>
  <DomainObject.Predmet.ProtuStrankaListFormatedWithAdressOIB>
    <izvorni_sadrzaj>
      <item>Stečajna masa iza IDS d.o.o., za gradnju i servis industrijskih pogona u stečaju, OIB 29022121413, Ivana Gundulića 4/D, 23000 Zadar</item>
    </izvorni_sadrzaj>
    <derivirana_varijabla naziv="DomainObject.Predmet.ProtuStrankaListFormatedWithAdressOIB_1">
      <item>Stečajna masa iza IDS d.o.o., za gradnju i servis industrijskih pogona u stečaju, OIB 29022121413, Ivana Gundulića 4/D, 23000 Zadar</item>
    </derivirana_varijabla>
  </DomainObject.Predmet.ProtuStrankaListFormatedWithAdressOIB>
  <DomainObject.Predmet.ProtuStrankaListNazivFormated>
    <izvorni_sadrzaj>
      <item>Stečajna masa iza IDS d.o.o., za gradnju i servis industrijskih pogona u stečaju</item>
    </izvorni_sadrzaj>
    <derivirana_varijabla naziv="DomainObject.Predmet.ProtuStrankaListNazivFormated_1">
      <item>Stečajna masa iza IDS d.o.o., za gradnju i servis industrijskih pogona u stečaju</item>
    </derivirana_varijabla>
  </DomainObject.Predmet.ProtuStrankaListNazivFormated>
  <DomainObject.Predmet.ProtuStrankaListNazivFormatedOIB>
    <izvorni_sadrzaj>
      <item>Stečajna masa iza IDS d.o.o., za gradnju i servis industrijskih pogona u stečaju, OIB 29022121413</item>
    </izvorni_sadrzaj>
    <derivirana_varijabla naziv="DomainObject.Predmet.ProtuStrankaListNazivFormatedOIB_1">
      <item>Stečajna masa iza IDS d.o.o., za gradnju i servis industrijskih pogona u stečaju, OIB 29022121413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IDS d.o.o., za gradnju i servis industrijskih pogona u stečaju</izvorni_sadrzaj>
    <derivirana_varijabla naziv="DomainObject.Predmet.ProtustrankaIDrugi_1">Stečajna masa iza IDS d.o.o., za gradnju i servis industrijskih pogona u stečaju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IDS d.o.o., za gradnju i servis industrijskih pogona u stečaju, OIB 29022121413, Ivana Gundulića 4/D, 23000 Zadar</izvorni_sadrzaj>
    <derivirana_varijabla naziv="DomainObject.Predmet.ProtustrankaIDrugiAdressOIB_1">Stečajna masa iza IDS d.o.o., za gradnju i servis industrijskih pogona u stečaju, OIB 29022121413, Ivana Gundulića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IDS d.o.o., za gradnju i servis industrijskih pogona u stečaju</item>
      <item>FINA - Podružnica Šibenik</item>
    </izvorni_sadrzaj>
    <derivirana_varijabla naziv="DomainObject.Predmet.SudioniciListNaziv_1">
      <item>Stečajna masa iza IDS d.o.o., za gradnju i servis industrijskih pogona u stečaju</item>
      <item>FINA - Podružnica Šibenik</item>
    </derivirana_varijabla>
  </DomainObject.Predmet.SudioniciListNaziv>
  <DomainObject.Predmet.SudioniciListAdressOIB>
    <izvorni_sadrzaj>
      <item>Stečajna masa iza IDS d.o.o., za gradnju i servis industrijskih pogona u stečaju, OIB 29022121413, Ivana Gundulića 4/D,23000 Zadar</item>
      <item>FINA - Podružnica Šibenik, OIB 85821130368, Perivoj Luje Maruna 1,22000 Šibenik</item>
    </izvorni_sadrzaj>
    <derivirana_varijabla naziv="DomainObject.Predmet.SudioniciListAdressOIB_1">
      <item>Stečajna masa iza IDS d.o.o., za gradnju i servis industrijskih pogona u stečaju, OIB 29022121413, Ivana Gundulića 4/D,23000 Zadar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29022121413</item>
      <item>, OIB 85821130368</item>
    </izvorni_sadrzaj>
    <derivirana_varijabla naziv="DomainObject.Predmet.SudioniciListNazivOIB_1">
      <item>, OIB 29022121413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2016.</izvorni_sadrzaj>
    <derivirana_varijabla naziv="DomainObject.Predmet.DatumZadnjeOdrzaneSudskeRadnje_1">22. prosinca 2016.</derivirana_varijabla>
  </DomainObject.Predmet.DatumZadnjeOdrzaneSudskeRadnje>
  <DomainObject.PredzadnjaOdlukaIzPredmeta.DatumDonosenjaOdluke>
    <izvorni_sadrzaj>11. siječnja 2017.</izvorni_sadrzaj>
    <derivirana_varijabla naziv="DomainObject.PredzadnjaOdlukaIzPredmeta.DatumDonosenjaOdluke_1">11. siječnja 2017.</derivirana_varijabla>
  </DomainObject.PredzadnjaOdlukaIzPredmeta.DatumDonosenjaOdluke>
  <DomainObject.PredzadnjaOdlukaIzPredmeta.Oznaka>
    <izvorni_sadrzaj>St-1076/2016-9</izvorni_sadrzaj>
    <derivirana_varijabla naziv="DomainObject.PredzadnjaOdlukaIzPredmeta.Oznaka_1">St-1076/2016-9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3082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2018-11-12T11:19:00Z</dcterms:created>
  <dc:creator>Anita Hrabrov Petrić</dc:creator>
  <cp:lastModifiedBy>Anita Hrabrov Petrić</cp:lastModifiedBy>
  <cp:lastPrinted>2018-11-09T08:55:00Z</cp:lastPrinted>
  <dcterms:modified xmlns:xsi="http://www.w3.org/2001/XMLSchema-instance" xsi:type="dcterms:W3CDTF">2018-11-12T11:39:00Z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(ZAVRŠNO ROČIIŠTE ST-1076-2016.docx)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