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39cb" w14:paraId="dfc39cb" w:rsidRDefault="00745959" w:rsidP="00745959" w:rsidR="00745959">
      <w:pPr>
        <w15:collapsed w:val="false"/>
        <w:rPr>
          <w:sz w:val="24"/>
          <w:lang w:val="hr-HR"/>
        </w:rPr>
      </w:pPr>
      <w:bookmarkStart w:name="_GoBack" w:id="0"/>
      <w:bookmarkEnd w:id="0"/>
      <w:r>
        <w:rPr>
          <w:sz w:val="24"/>
          <w:lang w:val="hr-HR"/>
        </w:rPr>
        <w:t>ORTOIMPLANT d.o.o. u stečaju, OIB 13168607633                        St-39/15</w:t>
      </w:r>
    </w:p>
    <w:p w:rsidRDefault="00745959" w:rsidP="00745959" w:rsidR="00745959">
      <w:pPr>
        <w:rPr>
          <w:sz w:val="24"/>
          <w:lang w:val="hr-HR"/>
        </w:rPr>
      </w:pPr>
    </w:p>
    <w:p w:rsidRDefault="00745959" w:rsidP="00745959" w:rsidR="00745959">
      <w:pPr>
        <w:rPr>
          <w:sz w:val="24"/>
          <w:lang w:val="hr-HR"/>
        </w:rPr>
      </w:pPr>
    </w:p>
    <w:p w:rsidRDefault="00745959" w:rsidP="00745959" w:rsidR="00745959">
      <w:pPr>
        <w:rPr>
          <w:sz w:val="24"/>
          <w:lang w:val="hr-HR"/>
        </w:rPr>
      </w:pPr>
      <w:r>
        <w:rPr>
          <w:sz w:val="24"/>
          <w:lang w:val="hr-HR"/>
        </w:rPr>
        <w:t>Trgovački sud u Zagrebu</w:t>
      </w:r>
    </w:p>
    <w:p w:rsidRDefault="00745959" w:rsidP="00745959" w:rsidR="00745959">
      <w:pPr>
        <w:rPr>
          <w:sz w:val="24"/>
          <w:lang w:val="hr-HR"/>
        </w:rPr>
      </w:pPr>
      <w:r>
        <w:rPr>
          <w:sz w:val="24"/>
          <w:lang w:val="hr-HR"/>
        </w:rPr>
        <w:t>Broj predmeta: St-39/15</w:t>
      </w:r>
    </w:p>
    <w:p w:rsidRDefault="00745959" w:rsidP="00745959" w:rsidR="00745959">
      <w:pPr>
        <w:rPr>
          <w:sz w:val="24"/>
          <w:lang w:val="hr-HR"/>
        </w:rPr>
      </w:pPr>
      <w:r>
        <w:rPr>
          <w:sz w:val="24"/>
          <w:lang w:val="hr-HR"/>
        </w:rPr>
        <w:t>Stečajni dužnik: ORTOIMPLANT d.o.o. u stečaju, OIB 13168607633, Zagreb</w:t>
      </w:r>
    </w:p>
    <w:p w:rsidRDefault="00745959" w:rsidP="00745959" w:rsidR="00745959">
      <w:pPr>
        <w:rPr>
          <w:sz w:val="24"/>
          <w:lang w:val="hr-HR"/>
        </w:rPr>
      </w:pPr>
      <w:r>
        <w:rPr>
          <w:sz w:val="24"/>
          <w:lang w:val="hr-HR"/>
        </w:rPr>
        <w:t xml:space="preserve">                                                                                                                                                                                                     </w:t>
      </w:r>
    </w:p>
    <w:p w:rsidRDefault="00745959" w:rsidP="00745959" w:rsidR="00745959">
      <w:pPr>
        <w:rPr>
          <w:sz w:val="24"/>
          <w:lang w:val="hr-HR"/>
        </w:rPr>
      </w:pPr>
      <w:r>
        <w:rPr>
          <w:sz w:val="24"/>
          <w:lang w:val="hr-HR"/>
        </w:rPr>
        <w:t xml:space="preserve">                                                  OBRAZAC 20</w:t>
      </w:r>
    </w:p>
    <w:p w:rsidRDefault="00745959" w:rsidP="00745959" w:rsidR="00745959">
      <w:pPr>
        <w:rPr>
          <w:sz w:val="24"/>
          <w:lang w:val="hr-HR"/>
        </w:rPr>
      </w:pPr>
    </w:p>
    <w:p w:rsidRDefault="00745959" w:rsidP="00745959" w:rsidR="00745959">
      <w:pPr>
        <w:rPr>
          <w:sz w:val="24"/>
          <w:szCs w:val="24"/>
          <w:lang w:val="hr-HR"/>
        </w:rPr>
      </w:pPr>
      <w:r>
        <w:rPr>
          <w:sz w:val="24"/>
          <w:szCs w:val="24"/>
          <w:lang w:val="hr-HR"/>
        </w:rPr>
        <w:t xml:space="preserve">           IZVJEŠĆE STEČAJNOG UPRAVITELJA O TIJEKU STEČAJNOG POSTUPKA I</w:t>
      </w:r>
    </w:p>
    <w:p w:rsidRDefault="00745959" w:rsidP="00745959" w:rsidR="00745959">
      <w:pPr>
        <w:rPr>
          <w:sz w:val="24"/>
          <w:szCs w:val="24"/>
          <w:lang w:val="hr-HR"/>
        </w:rPr>
      </w:pPr>
      <w:r>
        <w:rPr>
          <w:sz w:val="24"/>
          <w:szCs w:val="24"/>
          <w:lang w:val="hr-HR"/>
        </w:rPr>
        <w:t xml:space="preserve">                                                  STANJU STEČAJNE MASE</w:t>
      </w:r>
    </w:p>
    <w:p w:rsidRDefault="00745959" w:rsidP="00745959" w:rsidR="00745959">
      <w:pPr>
        <w:rPr>
          <w:sz w:val="24"/>
          <w:lang w:val="hr-HR"/>
        </w:rPr>
      </w:pPr>
    </w:p>
    <w:p w:rsidRDefault="00CF4F4C" w:rsidP="00745959" w:rsidR="00CF4F4C">
      <w:pPr>
        <w:rPr>
          <w:sz w:val="24"/>
          <w:lang w:val="hr-HR"/>
        </w:rPr>
      </w:pPr>
    </w:p>
    <w:p w:rsidRDefault="00745959" w:rsidP="00745959" w:rsidR="00745959">
      <w:pPr>
        <w:rPr>
          <w:sz w:val="24"/>
          <w:lang w:val="hr-HR"/>
        </w:rPr>
      </w:pPr>
      <w:r>
        <w:rPr>
          <w:sz w:val="24"/>
          <w:lang w:val="hr-HR"/>
        </w:rPr>
        <w:t>I   TIJEK STEČAJNOG POSTUPKA DO 10.3.2018.g.</w:t>
      </w:r>
    </w:p>
    <w:p w:rsidRDefault="00745959" w:rsidP="00745959" w:rsidR="00745959">
      <w:pPr>
        <w:rPr>
          <w:sz w:val="24"/>
          <w:lang w:val="hr-HR"/>
        </w:rPr>
      </w:pPr>
    </w:p>
    <w:p w:rsidRDefault="00745959" w:rsidP="00745959" w:rsidR="00745959">
      <w:pPr>
        <w:rPr>
          <w:sz w:val="24"/>
          <w:lang w:val="hr-HR"/>
        </w:rPr>
      </w:pPr>
      <w:r>
        <w:rPr>
          <w:sz w:val="24"/>
          <w:lang w:val="hr-HR"/>
        </w:rPr>
        <w:t>Kako su tijekom postupka provedene radnje na unovčenju imovine, u ovom izvješću se daje kratka rekapitulacija ukupno ostvarenih priliva u korist stečajne mase i plaćenih troškova postupka tijekom stečaja.</w:t>
      </w:r>
    </w:p>
    <w:p w:rsidRDefault="00745959" w:rsidP="00745959" w:rsidR="00745959">
      <w:pPr>
        <w:rPr>
          <w:sz w:val="24"/>
          <w:lang w:val="hr-HR"/>
        </w:rPr>
      </w:pPr>
    </w:p>
    <w:p w:rsidRDefault="00745959" w:rsidP="00745959" w:rsidR="00745959">
      <w:pPr>
        <w:rPr>
          <w:sz w:val="24"/>
          <w:lang w:val="hr-HR"/>
        </w:rPr>
      </w:pPr>
      <w:r>
        <w:rPr>
          <w:sz w:val="24"/>
          <w:lang w:val="hr-HR"/>
        </w:rPr>
        <w:t>Od procesnih radnji stečajnog postupka, zakazano je posebno ispitno ročište, te će se nakon provedbe istog steći uvjeti za podnošenje završnog računa stečajnog upravitelja.</w:t>
      </w:r>
    </w:p>
    <w:p w:rsidRDefault="00745959" w:rsidP="00745959" w:rsidR="00745959">
      <w:pPr>
        <w:rPr>
          <w:sz w:val="24"/>
          <w:lang w:val="hr-HR"/>
        </w:rPr>
      </w:pPr>
      <w:r>
        <w:rPr>
          <w:sz w:val="24"/>
          <w:lang w:val="hr-HR"/>
        </w:rPr>
        <w:t xml:space="preserve"> </w:t>
      </w:r>
    </w:p>
    <w:p w:rsidRDefault="00745959" w:rsidP="00745959" w:rsidR="00745959">
      <w:pPr>
        <w:rPr>
          <w:sz w:val="24"/>
          <w:szCs w:val="24"/>
          <w:lang w:val="hr-HR"/>
        </w:rPr>
      </w:pPr>
      <w:r>
        <w:rPr>
          <w:sz w:val="24"/>
          <w:szCs w:val="24"/>
          <w:lang w:val="hr-HR"/>
        </w:rPr>
        <w:t xml:space="preserve">Stečajni postupak nad  dužnikom ORTOIMPLANT d.o.o. u stečaju otvoren je dana 16.3.2015.g.  Jedinu unovčivu imovinu stečajnog dužnika činila je nekretnina upisana u </w:t>
      </w:r>
      <w:proofErr w:type="spellStart"/>
      <w:r>
        <w:rPr>
          <w:sz w:val="24"/>
          <w:szCs w:val="24"/>
          <w:lang w:val="hr-HR"/>
        </w:rPr>
        <w:t>zk.ul</w:t>
      </w:r>
      <w:proofErr w:type="spellEnd"/>
      <w:r>
        <w:rPr>
          <w:sz w:val="24"/>
          <w:szCs w:val="24"/>
          <w:lang w:val="hr-HR"/>
        </w:rPr>
        <w:t xml:space="preserve">. 24583 k.o. Trnje (E-441) koja je unovčena sukladno odredbama članka 164. Stečajnog zakona. Predmetna nekretnina djelomično je bila u zakupu tijekom postupka. </w:t>
      </w:r>
    </w:p>
    <w:p w:rsidRDefault="00745959" w:rsidP="00745959" w:rsidR="00745959">
      <w:pPr>
        <w:rPr>
          <w:sz w:val="24"/>
          <w:lang w:val="hr-HR"/>
        </w:rPr>
      </w:pPr>
    </w:p>
    <w:p w:rsidRDefault="00745959" w:rsidP="00745959" w:rsidR="00745959">
      <w:pPr>
        <w:rPr>
          <w:sz w:val="24"/>
          <w:lang w:val="hr-HR"/>
        </w:rPr>
      </w:pPr>
      <w:r>
        <w:rPr>
          <w:sz w:val="24"/>
          <w:lang w:val="hr-HR"/>
        </w:rPr>
        <w:t xml:space="preserve">Duljina trajanja stečajnog postupka najznačajnijim je dijelom bila uvjetovana činjenicom da je razlučni vjerovnik Privredna banka Zagreb d.d. radi prodaje i naplate osigurane tražbine pokrenula ovršni postupak na Općinskom građanskom sudu u Zagrebu pod poslovnim brojem </w:t>
      </w:r>
      <w:proofErr w:type="spellStart"/>
      <w:r>
        <w:rPr>
          <w:sz w:val="24"/>
          <w:lang w:val="hr-HR"/>
        </w:rPr>
        <w:t>Ovr</w:t>
      </w:r>
      <w:proofErr w:type="spellEnd"/>
      <w:r>
        <w:rPr>
          <w:sz w:val="24"/>
          <w:lang w:val="hr-HR"/>
        </w:rPr>
        <w:t xml:space="preserve">- 183/15, koji je temeljem članka 169. Stečajnog zakona ustupljen Trgovačkom sudu u Zagrebu, te je u predmetnom postupku doneseno rješenje pod poslovnim brojem </w:t>
      </w:r>
      <w:proofErr w:type="spellStart"/>
      <w:r>
        <w:rPr>
          <w:sz w:val="24"/>
          <w:lang w:val="hr-HR"/>
        </w:rPr>
        <w:t>Ovr</w:t>
      </w:r>
      <w:proofErr w:type="spellEnd"/>
      <w:r>
        <w:rPr>
          <w:sz w:val="24"/>
          <w:lang w:val="hr-HR"/>
        </w:rPr>
        <w:t xml:space="preserve">- 42/16 od 31.8.2016..  o obustavi postupka. Tijekom postupka razlučni vjerovnik Privredna banka Zagreb d.d. je obavijestila o prijenosu tražbine i osiguranja na pravnog slijednika B 2 KAPITAL d.o.o..  Nakon brisanja zabilježbe ovršnog postupka u zemljišnim knjigama, daljnje unovčenje nekretnine nastavljeno je po prijedlogu stečajnog upravitelja sukladno odredbama članka 164. Stečajnog zakona po stečajnom sucu. Nekretnina je unovčena na četvrtoj usmenoj javnoj dražbi 12.10.2017.g. za iznos </w:t>
      </w:r>
      <w:proofErr w:type="spellStart"/>
      <w:r>
        <w:rPr>
          <w:sz w:val="24"/>
          <w:lang w:val="hr-HR"/>
        </w:rPr>
        <w:t>kupovnine</w:t>
      </w:r>
      <w:proofErr w:type="spellEnd"/>
      <w:r>
        <w:rPr>
          <w:sz w:val="24"/>
          <w:lang w:val="hr-HR"/>
        </w:rPr>
        <w:t xml:space="preserve"> od 2.640.000,00 kn uz prijenos porezne obaveze. Ročište radi razdiobe </w:t>
      </w:r>
      <w:proofErr w:type="spellStart"/>
      <w:r>
        <w:rPr>
          <w:sz w:val="24"/>
          <w:lang w:val="hr-HR"/>
        </w:rPr>
        <w:t>kupovnine</w:t>
      </w:r>
      <w:proofErr w:type="spellEnd"/>
      <w:r>
        <w:rPr>
          <w:sz w:val="24"/>
          <w:lang w:val="hr-HR"/>
        </w:rPr>
        <w:t xml:space="preserve"> održano je 28.11.2017.., te je rješenjem o namirenu nakon određenja troškova iz članka 170. Stečajnog zakona namirena tražbina </w:t>
      </w:r>
      <w:proofErr w:type="spellStart"/>
      <w:r>
        <w:rPr>
          <w:sz w:val="24"/>
          <w:lang w:val="hr-HR"/>
        </w:rPr>
        <w:t>razlučnog</w:t>
      </w:r>
      <w:proofErr w:type="spellEnd"/>
      <w:r>
        <w:rPr>
          <w:sz w:val="24"/>
          <w:lang w:val="hr-HR"/>
        </w:rPr>
        <w:t xml:space="preserve"> vjerovnika B2 KAPITAL d.o.o. u iznosu od 2.277.090,00 kn.</w:t>
      </w:r>
    </w:p>
    <w:p w:rsidRDefault="00745959" w:rsidP="00745959" w:rsidR="00745959">
      <w:pPr>
        <w:rPr>
          <w:sz w:val="24"/>
          <w:lang w:val="hr-HR"/>
        </w:rPr>
      </w:pPr>
    </w:p>
    <w:p w:rsidRDefault="00745959" w:rsidP="00745959" w:rsidR="00745959">
      <w:pPr>
        <w:pStyle w:val="Naslov2"/>
        <w:numPr>
          <w:ilvl w:val="0"/>
          <w:numId w:val="0"/>
        </w:numPr>
        <w:tabs>
          <w:tab w:pos="708" w:val="left"/>
        </w:tabs>
      </w:pPr>
      <w:r>
        <w:t>II     STANJE STEČAJNE MASE</w:t>
      </w:r>
    </w:p>
    <w:p w:rsidRDefault="00745959" w:rsidP="00745959" w:rsidR="00745959">
      <w:pPr>
        <w:rPr>
          <w:lang w:val="hr-HR"/>
        </w:rPr>
      </w:pPr>
    </w:p>
    <w:p w:rsidRDefault="00745959" w:rsidP="00745959" w:rsidR="00745959" w:rsidRPr="00761784">
      <w:pPr>
        <w:rPr>
          <w:sz w:val="24"/>
          <w:szCs w:val="24"/>
          <w:lang w:val="hr-HR"/>
        </w:rPr>
      </w:pPr>
      <w:r w:rsidRPr="00761784">
        <w:rPr>
          <w:sz w:val="24"/>
          <w:szCs w:val="24"/>
          <w:lang w:val="hr-HR"/>
        </w:rPr>
        <w:t>U dijelu stanja stečajne mase iskazani su ostvareni prilivi u korist stečajne mase, te plaćeni troškovi stečajnog postupka, pri čemu će se konačni troškovi do zaključenja stečajnog postupka, definirati prije podnošenja završnog računa stečajnog upravitelja.</w:t>
      </w:r>
    </w:p>
    <w:p w:rsidRDefault="00CF4F4C" w:rsidP="00745959" w:rsidR="00745959">
      <w:pPr>
        <w:rPr>
          <w:lang w:val="hr-HR"/>
        </w:rPr>
      </w:pPr>
      <w:r>
        <w:rPr>
          <w:lang w:val="hr-HR"/>
        </w:rPr>
        <w:t xml:space="preserve"> </w:t>
      </w:r>
    </w:p>
    <w:p w:rsidRDefault="00CF4F4C" w:rsidP="00745959" w:rsidR="00CF4F4C" w:rsidRPr="00761784">
      <w:pPr>
        <w:rPr>
          <w:sz w:val="24"/>
          <w:szCs w:val="24"/>
          <w:lang w:val="hr-HR"/>
        </w:rPr>
      </w:pPr>
      <w:r w:rsidRPr="00761784">
        <w:rPr>
          <w:sz w:val="24"/>
          <w:szCs w:val="24"/>
          <w:lang w:val="hr-HR"/>
        </w:rPr>
        <w:t>Slijedom navedenog u cjelokupnom dosadašnjem tijeku postupka ostvareni su slijedeći prilivi i odlivi stečajne mase:</w:t>
      </w:r>
    </w:p>
    <w:p w:rsidRDefault="00CF4F4C" w:rsidP="00745959" w:rsidR="00CF4F4C">
      <w:pPr>
        <w:rPr>
          <w:lang w:val="hr-HR"/>
        </w:rPr>
      </w:pPr>
    </w:p>
    <w:p w:rsidRDefault="00745959" w:rsidP="00745959" w:rsidR="00745959">
      <w:pPr>
        <w:ind w:left="567"/>
        <w:rPr>
          <w:sz w:val="24"/>
          <w:lang w:val="hr-HR"/>
        </w:rPr>
      </w:pPr>
      <w:r>
        <w:rPr>
          <w:sz w:val="24"/>
          <w:lang w:val="hr-HR"/>
        </w:rPr>
        <w:lastRenderedPageBreak/>
        <w:t xml:space="preserve">A/ OSTVARENI PRILIVI NOVČANIH SREDSTAVA </w:t>
      </w:r>
    </w:p>
    <w:p w:rsidRDefault="00745959" w:rsidP="00761784" w:rsidR="00745959">
      <w:pPr>
        <w:rPr>
          <w:sz w:val="24"/>
          <w:lang w:val="hr-HR"/>
        </w:rPr>
      </w:pPr>
    </w:p>
    <w:tbl>
      <w:tblPr>
        <w:tblStyle w:val="Reetkatablice"/>
        <w:tblW w:type="auto" w:w="0"/>
        <w:tblInd w:type="dxa" w:w="675"/>
        <w:tblLayout w:type="fixed"/>
        <w:tblLook w:val="04A0" w:noVBand="1" w:noHBand="0" w:lastColumn="0" w:firstColumn="1" w:lastRow="0" w:firstRow="1"/>
      </w:tblPr>
      <w:tblGrid>
        <w:gridCol w:w="5562"/>
        <w:gridCol w:w="1610"/>
      </w:tblGrid>
      <w:tr w:rsidTr="00745959" w:rsidR="00745959">
        <w:tc>
          <w:tcPr>
            <w:tcW w:type="dxa" w:w="5562"/>
            <w:tcBorders>
              <w:top w:space="0" w:sz="4" w:color="auto" w:val="single"/>
              <w:left w:space="0" w:sz="4" w:color="auto" w:val="single"/>
              <w:bottom w:space="0" w:sz="4" w:color="auto" w:val="single"/>
              <w:right w:space="0" w:sz="4" w:color="auto" w:val="single"/>
            </w:tcBorders>
            <w:hideMark/>
          </w:tcPr>
          <w:p w:rsidRDefault="00745959" w:rsidR="00745959">
            <w:pPr>
              <w:rPr>
                <w:sz w:val="24"/>
                <w:lang w:eastAsia="en-US" w:val="hr-HR"/>
              </w:rPr>
            </w:pPr>
            <w:r>
              <w:rPr>
                <w:sz w:val="24"/>
                <w:lang w:eastAsia="en-US" w:val="hr-HR"/>
              </w:rPr>
              <w:t xml:space="preserve">      Vrsta primitka</w:t>
            </w:r>
          </w:p>
        </w:tc>
        <w:tc>
          <w:tcPr>
            <w:tcW w:type="dxa" w:w="1610"/>
            <w:tcBorders>
              <w:top w:space="0" w:sz="4" w:color="auto" w:val="single"/>
              <w:left w:space="0" w:sz="4" w:color="auto" w:val="single"/>
              <w:bottom w:space="0" w:sz="4" w:color="auto" w:val="single"/>
              <w:right w:space="0" w:sz="4" w:color="auto" w:val="single"/>
            </w:tcBorders>
            <w:hideMark/>
          </w:tcPr>
          <w:p w:rsidRDefault="00745959" w:rsidR="00745959">
            <w:pPr>
              <w:jc w:val="center"/>
              <w:rPr>
                <w:sz w:val="24"/>
                <w:lang w:eastAsia="en-US" w:val="hr-HR"/>
              </w:rPr>
            </w:pPr>
            <w:r>
              <w:rPr>
                <w:sz w:val="24"/>
                <w:lang w:eastAsia="en-US" w:val="hr-HR"/>
              </w:rPr>
              <w:t xml:space="preserve">kn          </w:t>
            </w:r>
          </w:p>
        </w:tc>
      </w:tr>
      <w:tr w:rsidTr="00745959" w:rsidR="00745959">
        <w:tc>
          <w:tcPr>
            <w:tcW w:type="dxa" w:w="5562"/>
            <w:tcBorders>
              <w:top w:space="0" w:sz="4" w:color="auto" w:val="single"/>
              <w:left w:space="0" w:sz="4" w:color="auto" w:val="single"/>
              <w:bottom w:space="0" w:sz="4" w:color="auto" w:val="single"/>
              <w:right w:space="0" w:sz="4" w:color="auto" w:val="single"/>
            </w:tcBorders>
            <w:hideMark/>
          </w:tcPr>
          <w:p w:rsidRDefault="00745959" w:rsidR="00745959">
            <w:pPr>
              <w:rPr>
                <w:sz w:val="24"/>
                <w:lang w:eastAsia="en-US" w:val="hr-HR"/>
              </w:rPr>
            </w:pPr>
            <w:r>
              <w:rPr>
                <w:sz w:val="24"/>
                <w:lang w:eastAsia="en-US" w:val="hr-HR"/>
              </w:rPr>
              <w:t>- početno stanje i naplata od kupaca i zakupnina</w:t>
            </w:r>
          </w:p>
        </w:tc>
        <w:tc>
          <w:tcPr>
            <w:tcW w:type="dxa" w:w="1610"/>
            <w:tcBorders>
              <w:top w:space="0" w:sz="4" w:color="auto" w:val="single"/>
              <w:left w:space="0" w:sz="4" w:color="auto" w:val="single"/>
              <w:bottom w:space="0" w:sz="4" w:color="auto" w:val="single"/>
              <w:right w:space="0" w:sz="4" w:color="auto" w:val="single"/>
            </w:tcBorders>
            <w:hideMark/>
          </w:tcPr>
          <w:p w:rsidRDefault="00745959" w:rsidR="00745959">
            <w:pPr>
              <w:jc w:val="center"/>
              <w:rPr>
                <w:sz w:val="24"/>
                <w:lang w:eastAsia="en-US" w:val="hr-HR"/>
              </w:rPr>
            </w:pPr>
            <w:r>
              <w:rPr>
                <w:sz w:val="24"/>
                <w:lang w:eastAsia="en-US" w:val="hr-HR"/>
              </w:rPr>
              <w:t xml:space="preserve">     481.886,00                       </w:t>
            </w:r>
          </w:p>
        </w:tc>
      </w:tr>
      <w:tr w:rsidTr="00745959" w:rsidR="00745959">
        <w:tc>
          <w:tcPr>
            <w:tcW w:type="dxa" w:w="5562"/>
            <w:tcBorders>
              <w:top w:space="0" w:sz="4" w:color="auto" w:val="single"/>
              <w:left w:space="0" w:sz="4" w:color="auto" w:val="single"/>
              <w:bottom w:space="0" w:sz="4" w:color="auto" w:val="single"/>
              <w:right w:space="0" w:sz="4" w:color="auto" w:val="single"/>
            </w:tcBorders>
            <w:hideMark/>
          </w:tcPr>
          <w:p w:rsidRDefault="00745959" w:rsidR="00745959">
            <w:pPr>
              <w:rPr>
                <w:sz w:val="24"/>
                <w:lang w:eastAsia="en-US" w:val="hr-HR"/>
              </w:rPr>
            </w:pPr>
            <w:r>
              <w:rPr>
                <w:sz w:val="24"/>
                <w:lang w:eastAsia="en-US" w:val="hr-HR"/>
              </w:rPr>
              <w:t>- prilivi od prodaje nekretnine</w:t>
            </w:r>
          </w:p>
        </w:tc>
        <w:tc>
          <w:tcPr>
            <w:tcW w:type="dxa" w:w="1610"/>
            <w:tcBorders>
              <w:top w:space="0" w:sz="4" w:color="auto" w:val="single"/>
              <w:left w:space="0" w:sz="4" w:color="auto" w:val="single"/>
              <w:bottom w:space="0" w:sz="4" w:color="auto" w:val="single"/>
              <w:right w:space="0" w:sz="4" w:color="auto" w:val="single"/>
            </w:tcBorders>
            <w:hideMark/>
          </w:tcPr>
          <w:p w:rsidRDefault="00745959" w:rsidR="00745959">
            <w:pPr>
              <w:jc w:val="right"/>
              <w:rPr>
                <w:sz w:val="24"/>
                <w:lang w:eastAsia="en-US" w:val="hr-HR"/>
              </w:rPr>
            </w:pPr>
            <w:r>
              <w:rPr>
                <w:sz w:val="24"/>
                <w:lang w:eastAsia="en-US" w:val="hr-HR"/>
              </w:rPr>
              <w:t>2.640.000,00</w:t>
            </w:r>
          </w:p>
        </w:tc>
      </w:tr>
      <w:tr w:rsidTr="00745959" w:rsidR="00745959">
        <w:tc>
          <w:tcPr>
            <w:tcW w:type="dxa" w:w="5562"/>
            <w:tcBorders>
              <w:top w:space="0" w:sz="4" w:color="auto" w:val="single"/>
              <w:left w:space="0" w:sz="4" w:color="auto" w:val="single"/>
              <w:bottom w:space="0" w:sz="4" w:color="auto" w:val="single"/>
              <w:right w:space="0" w:sz="4" w:color="auto" w:val="single"/>
            </w:tcBorders>
            <w:hideMark/>
          </w:tcPr>
          <w:p w:rsidRDefault="00745959" w:rsidR="00745959">
            <w:pPr>
              <w:rPr>
                <w:sz w:val="24"/>
                <w:lang w:eastAsia="en-US" w:val="hr-HR"/>
              </w:rPr>
            </w:pPr>
            <w:r>
              <w:rPr>
                <w:sz w:val="24"/>
                <w:lang w:eastAsia="en-US" w:val="hr-HR"/>
              </w:rPr>
              <w:t>- ostali prilivi</w:t>
            </w:r>
          </w:p>
        </w:tc>
        <w:tc>
          <w:tcPr>
            <w:tcW w:type="dxa" w:w="1610"/>
            <w:tcBorders>
              <w:top w:space="0" w:sz="4" w:color="auto" w:val="single"/>
              <w:left w:space="0" w:sz="4" w:color="auto" w:val="single"/>
              <w:bottom w:space="0" w:sz="4" w:color="auto" w:val="single"/>
              <w:right w:space="0" w:sz="4" w:color="auto" w:val="single"/>
            </w:tcBorders>
            <w:hideMark/>
          </w:tcPr>
          <w:p w:rsidRDefault="00745959" w:rsidR="00745959">
            <w:pPr>
              <w:jc w:val="center"/>
              <w:rPr>
                <w:sz w:val="24"/>
                <w:lang w:eastAsia="en-US" w:val="hr-HR"/>
              </w:rPr>
            </w:pPr>
            <w:r>
              <w:rPr>
                <w:sz w:val="24"/>
                <w:lang w:eastAsia="en-US" w:val="hr-HR"/>
              </w:rPr>
              <w:t xml:space="preserve">       18.518,66                   </w:t>
            </w:r>
          </w:p>
        </w:tc>
      </w:tr>
      <w:tr w:rsidTr="00745959" w:rsidR="00745959">
        <w:tc>
          <w:tcPr>
            <w:tcW w:type="dxa" w:w="5562"/>
            <w:tcBorders>
              <w:top w:space="0" w:sz="4" w:color="auto" w:val="single"/>
              <w:left w:space="0" w:sz="4" w:color="auto" w:val="single"/>
              <w:bottom w:space="0" w:sz="4" w:color="auto" w:val="single"/>
              <w:right w:space="0" w:sz="4" w:color="auto" w:val="single"/>
            </w:tcBorders>
            <w:hideMark/>
          </w:tcPr>
          <w:p w:rsidRDefault="00745959" w:rsidR="00745959" w:rsidRPr="00FE2119">
            <w:pPr>
              <w:rPr>
                <w:sz w:val="24"/>
                <w:lang w:eastAsia="en-US" w:val="hr-HR"/>
              </w:rPr>
            </w:pPr>
            <w:r w:rsidRPr="00FE2119">
              <w:rPr>
                <w:sz w:val="24"/>
                <w:lang w:eastAsia="en-US" w:val="hr-HR"/>
              </w:rPr>
              <w:t>Ukupno ostvareni prilivi novčanih sredstava:</w:t>
            </w:r>
          </w:p>
        </w:tc>
        <w:tc>
          <w:tcPr>
            <w:tcW w:type="dxa" w:w="1610"/>
            <w:tcBorders>
              <w:top w:space="0" w:sz="4" w:color="auto" w:val="single"/>
              <w:left w:space="0" w:sz="4" w:color="auto" w:val="single"/>
              <w:bottom w:space="0" w:sz="4" w:color="auto" w:val="single"/>
              <w:right w:space="0" w:sz="4" w:color="auto" w:val="single"/>
            </w:tcBorders>
            <w:hideMark/>
          </w:tcPr>
          <w:p w:rsidRDefault="00745959" w:rsidR="00745959" w:rsidRPr="00FE2119">
            <w:pPr>
              <w:rPr>
                <w:sz w:val="24"/>
                <w:lang w:eastAsia="en-US" w:val="hr-HR"/>
              </w:rPr>
            </w:pPr>
            <w:r>
              <w:rPr>
                <w:b/>
                <w:sz w:val="24"/>
                <w:lang w:eastAsia="en-US" w:val="hr-HR"/>
              </w:rPr>
              <w:t xml:space="preserve"> </w:t>
            </w:r>
            <w:r w:rsidR="00FE2119">
              <w:rPr>
                <w:b/>
                <w:sz w:val="24"/>
                <w:lang w:eastAsia="en-US" w:val="hr-HR"/>
              </w:rPr>
              <w:t xml:space="preserve"> </w:t>
            </w:r>
            <w:r w:rsidRPr="00FE2119">
              <w:rPr>
                <w:sz w:val="24"/>
                <w:lang w:eastAsia="en-US" w:val="hr-HR"/>
              </w:rPr>
              <w:t>3.140.404,66</w:t>
            </w:r>
          </w:p>
        </w:tc>
      </w:tr>
    </w:tbl>
    <w:p w:rsidRDefault="00745959" w:rsidP="00745959" w:rsidR="00745959">
      <w:pPr>
        <w:ind w:left="567"/>
        <w:rPr>
          <w:sz w:val="24"/>
          <w:lang w:val="hr-HR"/>
        </w:rPr>
      </w:pPr>
    </w:p>
    <w:p w:rsidRDefault="00745959" w:rsidP="00745959" w:rsidR="00745959">
      <w:pPr>
        <w:ind w:left="567"/>
        <w:rPr>
          <w:sz w:val="24"/>
          <w:lang w:val="hr-HR"/>
        </w:rPr>
      </w:pPr>
    </w:p>
    <w:p w:rsidRDefault="00745959" w:rsidP="00745959" w:rsidR="00745959">
      <w:pPr>
        <w:ind w:left="567"/>
        <w:rPr>
          <w:sz w:val="24"/>
          <w:lang w:val="hr-HR"/>
        </w:rPr>
      </w:pPr>
      <w:r>
        <w:rPr>
          <w:sz w:val="24"/>
          <w:lang w:val="hr-HR"/>
        </w:rPr>
        <w:t xml:space="preserve">B/ OSTVARENI ODLIVI NOVČANIH SREDSTAVA  </w:t>
      </w:r>
    </w:p>
    <w:p w:rsidRDefault="00745959" w:rsidP="00761784" w:rsidR="00745959">
      <w:pPr>
        <w:rPr>
          <w:sz w:val="24"/>
          <w:lang w:val="hr-HR"/>
        </w:rPr>
      </w:pPr>
    </w:p>
    <w:tbl>
      <w:tblPr>
        <w:tblW w:type="auto" w:w="0"/>
        <w:tblInd w:type="dxa" w:w="6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969"/>
        <w:gridCol w:w="3261"/>
      </w:tblGrid>
      <w:tr w:rsidTr="00745959" w:rsidR="00745959">
        <w:tc>
          <w:tcPr>
            <w:tcW w:type="dxa" w:w="3969"/>
            <w:tcBorders>
              <w:top w:space="0" w:sz="4" w:color="auto" w:val="single"/>
              <w:left w:space="0" w:sz="4" w:color="auto" w:val="single"/>
              <w:bottom w:space="0" w:sz="4" w:color="auto" w:val="single"/>
              <w:right w:space="0" w:sz="4" w:color="auto" w:val="single"/>
            </w:tcBorders>
            <w:vAlign w:val="center"/>
            <w:hideMark/>
          </w:tcPr>
          <w:p w:rsidRDefault="00745959" w:rsidR="00745959">
            <w:pPr>
              <w:spacing w:lineRule="auto" w:line="276"/>
              <w:jc w:val="center"/>
              <w:rPr>
                <w:b/>
                <w:lang w:eastAsia="en-US" w:val="hr-HR"/>
              </w:rPr>
            </w:pPr>
            <w:r>
              <w:rPr>
                <w:b/>
                <w:lang w:eastAsia="en-US" w:val="hr-HR"/>
              </w:rPr>
              <w:t>Vrsta troška</w:t>
            </w:r>
          </w:p>
        </w:tc>
        <w:tc>
          <w:tcPr>
            <w:tcW w:type="dxa" w:w="3261"/>
            <w:tcBorders>
              <w:top w:space="0" w:sz="4" w:color="auto" w:val="single"/>
              <w:left w:space="0" w:sz="4" w:color="auto" w:val="single"/>
              <w:bottom w:space="0" w:sz="4" w:color="auto" w:val="single"/>
              <w:right w:space="0" w:sz="4" w:color="auto" w:val="single"/>
            </w:tcBorders>
            <w:vAlign w:val="center"/>
            <w:hideMark/>
          </w:tcPr>
          <w:p w:rsidRDefault="00745959" w:rsidR="00745959">
            <w:pPr>
              <w:spacing w:lineRule="auto" w:line="276"/>
              <w:jc w:val="center"/>
              <w:rPr>
                <w:b/>
                <w:lang w:eastAsia="en-US" w:val="hr-HR"/>
              </w:rPr>
            </w:pPr>
            <w:r>
              <w:rPr>
                <w:b/>
                <w:lang w:eastAsia="en-US" w:val="hr-HR"/>
              </w:rPr>
              <w:t>Ukupno</w:t>
            </w:r>
          </w:p>
        </w:tc>
      </w:tr>
      <w:tr w:rsidTr="00745959" w:rsidR="00745959">
        <w:tc>
          <w:tcPr>
            <w:tcW w:type="dxa" w:w="3969"/>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sz w:val="24"/>
                <w:szCs w:val="24"/>
                <w:lang w:eastAsia="en-US" w:val="hr-HR"/>
              </w:rPr>
            </w:pPr>
            <w:r>
              <w:rPr>
                <w:sz w:val="24"/>
                <w:szCs w:val="24"/>
                <w:lang w:eastAsia="en-US" w:val="hr-HR"/>
              </w:rPr>
              <w:t>- trošak bankarske naknade</w:t>
            </w:r>
          </w:p>
        </w:tc>
        <w:tc>
          <w:tcPr>
            <w:tcW w:type="dxa" w:w="3261"/>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sz w:val="24"/>
                <w:szCs w:val="24"/>
                <w:lang w:eastAsia="en-US" w:val="hr-HR"/>
              </w:rPr>
            </w:pPr>
            <w:r>
              <w:rPr>
                <w:sz w:val="24"/>
                <w:szCs w:val="24"/>
                <w:lang w:eastAsia="en-US" w:val="hr-HR"/>
              </w:rPr>
              <w:t xml:space="preserve">                                  3.073,64</w:t>
            </w:r>
          </w:p>
        </w:tc>
      </w:tr>
      <w:tr w:rsidTr="00745959" w:rsidR="00745959">
        <w:tc>
          <w:tcPr>
            <w:tcW w:type="dxa" w:w="3969"/>
            <w:tcBorders>
              <w:top w:space="0" w:sz="4" w:color="auto" w:val="single"/>
              <w:left w:space="0" w:sz="4" w:color="auto" w:val="single"/>
              <w:bottom w:space="0" w:sz="4" w:color="auto" w:val="single"/>
              <w:right w:space="0" w:sz="4" w:color="auto" w:val="single"/>
            </w:tcBorders>
            <w:hideMark/>
          </w:tcPr>
          <w:p w:rsidRDefault="00FE2119" w:rsidR="00745959">
            <w:pPr>
              <w:spacing w:lineRule="auto" w:line="276"/>
              <w:rPr>
                <w:sz w:val="24"/>
                <w:szCs w:val="24"/>
                <w:lang w:eastAsia="en-US" w:val="hr-HR"/>
              </w:rPr>
            </w:pPr>
            <w:r>
              <w:rPr>
                <w:sz w:val="24"/>
                <w:szCs w:val="24"/>
                <w:lang w:eastAsia="en-US" w:val="hr-HR"/>
              </w:rPr>
              <w:t>- troškovi suradnika neto</w:t>
            </w:r>
          </w:p>
        </w:tc>
        <w:tc>
          <w:tcPr>
            <w:tcW w:type="dxa" w:w="3261"/>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sz w:val="24"/>
                <w:szCs w:val="24"/>
                <w:lang w:eastAsia="en-US" w:val="hr-HR"/>
              </w:rPr>
            </w:pPr>
            <w:r>
              <w:rPr>
                <w:sz w:val="24"/>
                <w:szCs w:val="24"/>
                <w:lang w:eastAsia="en-US" w:val="hr-HR"/>
              </w:rPr>
              <w:t xml:space="preserve">         </w:t>
            </w:r>
            <w:r w:rsidR="00FE2119">
              <w:rPr>
                <w:sz w:val="24"/>
                <w:szCs w:val="24"/>
                <w:lang w:eastAsia="en-US" w:val="hr-HR"/>
              </w:rPr>
              <w:t xml:space="preserve">                       10.250,00</w:t>
            </w:r>
            <w:r>
              <w:rPr>
                <w:sz w:val="24"/>
                <w:szCs w:val="24"/>
                <w:lang w:eastAsia="en-US" w:val="hr-HR"/>
              </w:rPr>
              <w:t xml:space="preserve">  </w:t>
            </w:r>
          </w:p>
        </w:tc>
      </w:tr>
      <w:tr w:rsidTr="00745959" w:rsidR="00745959">
        <w:tc>
          <w:tcPr>
            <w:tcW w:type="dxa" w:w="3969"/>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sz w:val="24"/>
                <w:szCs w:val="24"/>
                <w:lang w:eastAsia="en-US" w:val="hr-HR"/>
              </w:rPr>
            </w:pPr>
            <w:r>
              <w:rPr>
                <w:sz w:val="24"/>
                <w:szCs w:val="24"/>
                <w:lang w:eastAsia="en-US" w:val="hr-HR"/>
              </w:rPr>
              <w:t>- troškovi ostalih režija nekretnine</w:t>
            </w:r>
          </w:p>
        </w:tc>
        <w:tc>
          <w:tcPr>
            <w:tcW w:type="dxa" w:w="3261"/>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sz w:val="24"/>
                <w:szCs w:val="24"/>
                <w:lang w:eastAsia="en-US" w:val="hr-HR"/>
              </w:rPr>
            </w:pPr>
            <w:r>
              <w:rPr>
                <w:sz w:val="24"/>
                <w:szCs w:val="24"/>
                <w:lang w:eastAsia="en-US" w:val="hr-HR"/>
              </w:rPr>
              <w:t xml:space="preserve">                                28.726,24</w:t>
            </w:r>
          </w:p>
        </w:tc>
      </w:tr>
      <w:tr w:rsidTr="00745959" w:rsidR="00745959">
        <w:tc>
          <w:tcPr>
            <w:tcW w:type="dxa" w:w="3969"/>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sz w:val="24"/>
                <w:szCs w:val="24"/>
                <w:lang w:eastAsia="en-US" w:val="hr-HR"/>
              </w:rPr>
            </w:pPr>
            <w:r>
              <w:rPr>
                <w:sz w:val="24"/>
                <w:szCs w:val="24"/>
                <w:lang w:eastAsia="en-US" w:val="hr-HR"/>
              </w:rPr>
              <w:t xml:space="preserve">- troškovi vještaka </w:t>
            </w:r>
          </w:p>
        </w:tc>
        <w:tc>
          <w:tcPr>
            <w:tcW w:type="dxa" w:w="3261"/>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jc w:val="center"/>
              <w:rPr>
                <w:sz w:val="24"/>
                <w:szCs w:val="24"/>
                <w:lang w:eastAsia="en-US" w:val="hr-HR"/>
              </w:rPr>
            </w:pPr>
            <w:r>
              <w:rPr>
                <w:sz w:val="24"/>
                <w:szCs w:val="24"/>
                <w:lang w:eastAsia="en-US" w:val="hr-HR"/>
              </w:rPr>
              <w:t xml:space="preserve">                               5.000,00 </w:t>
            </w:r>
          </w:p>
        </w:tc>
      </w:tr>
      <w:tr w:rsidTr="00745959" w:rsidR="00745959">
        <w:tc>
          <w:tcPr>
            <w:tcW w:type="dxa" w:w="3969"/>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rFonts w:eastAsiaTheme="minorHAnsi" w:hAnsiTheme="minorHAnsi" w:asciiTheme="minorHAnsi"/>
                <w:sz w:val="22"/>
                <w:szCs w:val="22"/>
                <w:lang w:eastAsia="en-US" w:val="hr-HR"/>
              </w:rPr>
            </w:pPr>
          </w:p>
        </w:tc>
        <w:tc>
          <w:tcPr>
            <w:tcW w:type="dxa" w:w="3261"/>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rFonts w:eastAsiaTheme="minorHAnsi" w:hAnsiTheme="minorHAnsi" w:asciiTheme="minorHAnsi"/>
                <w:sz w:val="22"/>
                <w:szCs w:val="22"/>
                <w:lang w:eastAsia="en-US" w:val="hr-HR"/>
              </w:rPr>
            </w:pPr>
          </w:p>
        </w:tc>
      </w:tr>
      <w:tr w:rsidTr="00745959" w:rsidR="00745959">
        <w:tc>
          <w:tcPr>
            <w:tcW w:type="dxa" w:w="3969"/>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sz w:val="24"/>
                <w:szCs w:val="24"/>
                <w:lang w:eastAsia="en-US" w:val="hr-HR"/>
              </w:rPr>
            </w:pPr>
            <w:r>
              <w:rPr>
                <w:sz w:val="24"/>
                <w:szCs w:val="24"/>
                <w:lang w:eastAsia="en-US" w:val="hr-HR"/>
              </w:rPr>
              <w:t xml:space="preserve">- troškovi knjigovodstva </w:t>
            </w:r>
          </w:p>
        </w:tc>
        <w:tc>
          <w:tcPr>
            <w:tcW w:type="dxa" w:w="3261"/>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jc w:val="center"/>
              <w:rPr>
                <w:sz w:val="24"/>
                <w:szCs w:val="24"/>
                <w:lang w:eastAsia="en-US" w:val="hr-HR"/>
              </w:rPr>
            </w:pPr>
            <w:r>
              <w:rPr>
                <w:sz w:val="24"/>
                <w:szCs w:val="24"/>
                <w:lang w:eastAsia="en-US" w:val="hr-HR"/>
              </w:rPr>
              <w:t xml:space="preserve">                              42.500,00</w:t>
            </w:r>
          </w:p>
        </w:tc>
      </w:tr>
      <w:tr w:rsidTr="00745959" w:rsidR="00745959">
        <w:tc>
          <w:tcPr>
            <w:tcW w:type="dxa" w:w="3969"/>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sz w:val="24"/>
                <w:szCs w:val="24"/>
                <w:lang w:eastAsia="en-US" w:val="hr-HR"/>
              </w:rPr>
            </w:pPr>
            <w:r>
              <w:rPr>
                <w:sz w:val="24"/>
                <w:szCs w:val="24"/>
                <w:lang w:eastAsia="en-US" w:val="hr-HR"/>
              </w:rPr>
              <w:t>- troškovi sudskih pristojbi ,odvjetnika</w:t>
            </w:r>
          </w:p>
        </w:tc>
        <w:tc>
          <w:tcPr>
            <w:tcW w:type="dxa" w:w="3261"/>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jc w:val="center"/>
              <w:rPr>
                <w:sz w:val="24"/>
                <w:szCs w:val="24"/>
                <w:lang w:eastAsia="en-US" w:val="hr-HR"/>
              </w:rPr>
            </w:pPr>
            <w:r>
              <w:rPr>
                <w:sz w:val="24"/>
                <w:szCs w:val="24"/>
                <w:lang w:eastAsia="en-US" w:val="hr-HR"/>
              </w:rPr>
              <w:t xml:space="preserve">                              27.590,61</w:t>
            </w:r>
          </w:p>
        </w:tc>
      </w:tr>
      <w:tr w:rsidTr="00745959" w:rsidR="00745959">
        <w:tc>
          <w:tcPr>
            <w:tcW w:type="dxa" w:w="3969"/>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sz w:val="24"/>
                <w:szCs w:val="24"/>
                <w:lang w:eastAsia="en-US" w:val="hr-HR"/>
              </w:rPr>
            </w:pPr>
            <w:r>
              <w:rPr>
                <w:sz w:val="24"/>
                <w:szCs w:val="24"/>
                <w:lang w:eastAsia="en-US" w:val="hr-HR"/>
              </w:rPr>
              <w:t>-plaćen porezi, doprinosi, PDV i druga davanja RH</w:t>
            </w:r>
          </w:p>
        </w:tc>
        <w:tc>
          <w:tcPr>
            <w:tcW w:type="dxa" w:w="3261"/>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jc w:val="center"/>
              <w:rPr>
                <w:sz w:val="24"/>
                <w:szCs w:val="24"/>
                <w:lang w:eastAsia="en-US" w:val="hr-HR"/>
              </w:rPr>
            </w:pPr>
            <w:r>
              <w:rPr>
                <w:sz w:val="24"/>
                <w:szCs w:val="24"/>
                <w:lang w:eastAsia="en-US" w:val="hr-HR"/>
              </w:rPr>
              <w:t xml:space="preserve">        </w:t>
            </w:r>
            <w:r w:rsidR="00FE2119">
              <w:rPr>
                <w:sz w:val="24"/>
                <w:szCs w:val="24"/>
                <w:lang w:eastAsia="en-US" w:val="hr-HR"/>
              </w:rPr>
              <w:t xml:space="preserve">                       97.624,08</w:t>
            </w:r>
            <w:r>
              <w:rPr>
                <w:sz w:val="24"/>
                <w:szCs w:val="24"/>
                <w:lang w:eastAsia="en-US" w:val="hr-HR"/>
              </w:rPr>
              <w:t xml:space="preserve">                         </w:t>
            </w:r>
          </w:p>
        </w:tc>
      </w:tr>
      <w:tr w:rsidTr="00745959" w:rsidR="00745959">
        <w:tc>
          <w:tcPr>
            <w:tcW w:type="dxa" w:w="3969"/>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rPr>
                <w:sz w:val="24"/>
                <w:szCs w:val="24"/>
                <w:lang w:eastAsia="en-US" w:val="hr-HR"/>
              </w:rPr>
            </w:pPr>
            <w:r>
              <w:rPr>
                <w:sz w:val="24"/>
                <w:szCs w:val="24"/>
                <w:lang w:eastAsia="en-US" w:val="hr-HR"/>
              </w:rPr>
              <w:t xml:space="preserve">- isplata </w:t>
            </w:r>
            <w:proofErr w:type="spellStart"/>
            <w:r>
              <w:rPr>
                <w:sz w:val="24"/>
                <w:szCs w:val="24"/>
                <w:lang w:eastAsia="en-US" w:val="hr-HR"/>
              </w:rPr>
              <w:t>razlučnog</w:t>
            </w:r>
            <w:proofErr w:type="spellEnd"/>
            <w:r>
              <w:rPr>
                <w:sz w:val="24"/>
                <w:szCs w:val="24"/>
                <w:lang w:eastAsia="en-US" w:val="hr-HR"/>
              </w:rPr>
              <w:t xml:space="preserve"> prava</w:t>
            </w:r>
          </w:p>
        </w:tc>
        <w:tc>
          <w:tcPr>
            <w:tcW w:type="dxa" w:w="3261"/>
            <w:tcBorders>
              <w:top w:space="0" w:sz="4" w:color="auto" w:val="single"/>
              <w:left w:space="0" w:sz="4" w:color="auto" w:val="single"/>
              <w:bottom w:space="0" w:sz="4" w:color="auto" w:val="single"/>
              <w:right w:space="0" w:sz="4" w:color="auto" w:val="single"/>
            </w:tcBorders>
            <w:hideMark/>
          </w:tcPr>
          <w:p w:rsidRDefault="00745959" w:rsidR="00745959">
            <w:pPr>
              <w:spacing w:lineRule="auto" w:line="276"/>
              <w:jc w:val="center"/>
              <w:rPr>
                <w:sz w:val="24"/>
                <w:szCs w:val="24"/>
                <w:lang w:eastAsia="en-US" w:val="hr-HR"/>
              </w:rPr>
            </w:pPr>
            <w:r>
              <w:rPr>
                <w:sz w:val="24"/>
                <w:szCs w:val="24"/>
                <w:lang w:eastAsia="en-US" w:val="hr-HR"/>
              </w:rPr>
              <w:t xml:space="preserve">                           2.277.090,00</w:t>
            </w:r>
          </w:p>
        </w:tc>
      </w:tr>
      <w:tr w:rsidTr="00745959" w:rsidR="00745959">
        <w:tc>
          <w:tcPr>
            <w:tcW w:type="dxa" w:w="3969"/>
            <w:tcBorders>
              <w:top w:space="0" w:sz="4" w:color="auto" w:val="single"/>
              <w:left w:space="0" w:sz="4" w:color="auto" w:val="single"/>
              <w:bottom w:space="0" w:sz="4" w:color="auto" w:val="single"/>
              <w:right w:space="0" w:sz="4" w:color="auto" w:val="single"/>
            </w:tcBorders>
            <w:hideMark/>
          </w:tcPr>
          <w:p w:rsidRDefault="00745959" w:rsidR="00745959" w:rsidRPr="00CF4F4C">
            <w:pPr>
              <w:spacing w:lineRule="auto" w:line="276"/>
              <w:rPr>
                <w:sz w:val="24"/>
                <w:szCs w:val="24"/>
                <w:lang w:eastAsia="en-US" w:val="hr-HR"/>
              </w:rPr>
            </w:pPr>
            <w:r>
              <w:rPr>
                <w:sz w:val="24"/>
                <w:szCs w:val="24"/>
                <w:lang w:eastAsia="en-US" w:val="hr-HR"/>
              </w:rPr>
              <w:t xml:space="preserve">   </w:t>
            </w:r>
            <w:r w:rsidRPr="00CF4F4C">
              <w:rPr>
                <w:sz w:val="24"/>
                <w:szCs w:val="24"/>
                <w:lang w:eastAsia="en-US" w:val="hr-HR"/>
              </w:rPr>
              <w:t>Ukupno odlivi tijekom postupka</w:t>
            </w:r>
          </w:p>
        </w:tc>
        <w:tc>
          <w:tcPr>
            <w:tcW w:type="dxa" w:w="3261"/>
            <w:tcBorders>
              <w:top w:space="0" w:sz="4" w:color="auto" w:val="single"/>
              <w:left w:space="0" w:sz="4" w:color="auto" w:val="single"/>
              <w:bottom w:space="0" w:sz="4" w:color="auto" w:val="single"/>
              <w:right w:space="0" w:sz="4" w:color="auto" w:val="single"/>
            </w:tcBorders>
            <w:hideMark/>
          </w:tcPr>
          <w:p w:rsidRDefault="00745959" w:rsidR="00745959" w:rsidRPr="00FE2119">
            <w:pPr>
              <w:spacing w:lineRule="auto" w:line="276"/>
              <w:rPr>
                <w:sz w:val="24"/>
                <w:szCs w:val="24"/>
                <w:lang w:eastAsia="en-US" w:val="hr-HR"/>
              </w:rPr>
            </w:pPr>
            <w:r>
              <w:rPr>
                <w:b/>
                <w:sz w:val="24"/>
                <w:szCs w:val="24"/>
                <w:lang w:eastAsia="en-US" w:val="hr-HR"/>
              </w:rPr>
              <w:t xml:space="preserve">                            </w:t>
            </w:r>
            <w:r w:rsidRPr="00FE2119">
              <w:rPr>
                <w:sz w:val="24"/>
                <w:szCs w:val="24"/>
                <w:lang w:eastAsia="en-US" w:val="hr-HR"/>
              </w:rPr>
              <w:t xml:space="preserve">2.495.233,63        </w:t>
            </w:r>
          </w:p>
        </w:tc>
      </w:tr>
      <w:tr w:rsidTr="00745959" w:rsidR="00745959">
        <w:tc>
          <w:tcPr>
            <w:tcW w:type="dxa" w:w="3969"/>
            <w:tcBorders>
              <w:top w:space="0" w:sz="4" w:color="auto" w:val="single"/>
              <w:left w:space="0" w:sz="4" w:color="auto" w:val="single"/>
              <w:bottom w:space="0" w:sz="4" w:color="auto" w:val="single"/>
              <w:right w:space="0" w:sz="4" w:color="auto" w:val="single"/>
            </w:tcBorders>
            <w:hideMark/>
          </w:tcPr>
          <w:p w:rsidRDefault="00745959" w:rsidR="00745959" w:rsidRPr="00CF4F4C">
            <w:pPr>
              <w:spacing w:lineRule="auto" w:line="276"/>
              <w:rPr>
                <w:sz w:val="24"/>
                <w:szCs w:val="24"/>
                <w:lang w:eastAsia="en-US" w:val="hr-HR"/>
              </w:rPr>
            </w:pPr>
            <w:r w:rsidRPr="00CF4F4C">
              <w:rPr>
                <w:sz w:val="24"/>
                <w:szCs w:val="24"/>
                <w:lang w:eastAsia="en-US" w:val="hr-HR"/>
              </w:rPr>
              <w:t>Stanje novčani</w:t>
            </w:r>
            <w:r w:rsidR="00CF4F4C" w:rsidRPr="00CF4F4C">
              <w:rPr>
                <w:sz w:val="24"/>
                <w:szCs w:val="24"/>
                <w:lang w:eastAsia="en-US" w:val="hr-HR"/>
              </w:rPr>
              <w:t xml:space="preserve">h sredstava na računu </w:t>
            </w:r>
          </w:p>
        </w:tc>
        <w:tc>
          <w:tcPr>
            <w:tcW w:type="dxa" w:w="3261"/>
            <w:tcBorders>
              <w:top w:space="0" w:sz="4" w:color="auto" w:val="single"/>
              <w:left w:space="0" w:sz="4" w:color="auto" w:val="single"/>
              <w:bottom w:space="0" w:sz="4" w:color="auto" w:val="single"/>
              <w:right w:space="0" w:sz="4" w:color="auto" w:val="single"/>
            </w:tcBorders>
            <w:hideMark/>
          </w:tcPr>
          <w:p w:rsidRDefault="00745959" w:rsidR="00745959" w:rsidRPr="00FE2119">
            <w:pPr>
              <w:spacing w:lineRule="auto" w:line="276"/>
              <w:rPr>
                <w:sz w:val="24"/>
                <w:szCs w:val="24"/>
                <w:lang w:eastAsia="en-US" w:val="hr-HR"/>
              </w:rPr>
            </w:pPr>
            <w:r>
              <w:rPr>
                <w:b/>
                <w:sz w:val="24"/>
                <w:szCs w:val="24"/>
                <w:lang w:eastAsia="en-US" w:val="hr-HR"/>
              </w:rPr>
              <w:t xml:space="preserve">                               </w:t>
            </w:r>
            <w:r w:rsidRPr="00FE2119">
              <w:rPr>
                <w:sz w:val="24"/>
                <w:szCs w:val="24"/>
                <w:lang w:eastAsia="en-US" w:val="hr-HR"/>
              </w:rPr>
              <w:t>645.171,03</w:t>
            </w:r>
          </w:p>
        </w:tc>
      </w:tr>
    </w:tbl>
    <w:p w:rsidRDefault="00745959" w:rsidP="00745959" w:rsidR="00745959">
      <w:pPr>
        <w:pStyle w:val="Tijeloteksta"/>
      </w:pPr>
    </w:p>
    <w:p w:rsidRDefault="00CF4F4C" w:rsidP="00CF4F4C" w:rsidR="00CF4F4C">
      <w:pPr>
        <w:rPr>
          <w:sz w:val="24"/>
          <w:lang w:val="hr-HR"/>
        </w:rPr>
      </w:pPr>
      <w:r>
        <w:rPr>
          <w:sz w:val="24"/>
          <w:lang w:val="hr-HR"/>
        </w:rPr>
        <w:t xml:space="preserve">Ostvareni troškovi postupka određeni su strukturom i dugotrajnošću samog postupka uvjetovanih kako je opisano pokrenutim ovršnim postupkom na nekretnini. Značajnije stavke </w:t>
      </w:r>
      <w:r w:rsidR="00FE2119">
        <w:rPr>
          <w:sz w:val="24"/>
          <w:lang w:val="hr-HR"/>
        </w:rPr>
        <w:t xml:space="preserve"> </w:t>
      </w:r>
      <w:r>
        <w:rPr>
          <w:sz w:val="24"/>
          <w:lang w:val="hr-HR"/>
        </w:rPr>
        <w:t xml:space="preserve">troškova čine knjigovodstvene usluge koji su uvjetovani dužinom postupka i porezno pravnim obavezama stečajnog dužnika iz članka 154. Stečajnog zakona. Iskazani režijski troškovi vezani su uz činjenicu da dijelom nekretnina nije bila u zakupu, te se isti odnose na navedeni dio nekretnine, dok je u preostalom dijelu zakupac plaćao režijske troškove. Plaćena usluga vještaka odnosi se na procjenu nekretnine u vlasništvu stečajnog dužnika koja je bila predmet unovčenja temeljem odredbi članka 164. Stečajnog zakona. Stečajni dužnik je kao tuženik vodio parnicu značajne vrijednosti radi utvrđenja tražbine sa tužiteljem Damir </w:t>
      </w:r>
      <w:proofErr w:type="spellStart"/>
      <w:r>
        <w:rPr>
          <w:sz w:val="24"/>
          <w:lang w:val="hr-HR"/>
        </w:rPr>
        <w:t>Bronić</w:t>
      </w:r>
      <w:proofErr w:type="spellEnd"/>
      <w:r>
        <w:rPr>
          <w:sz w:val="24"/>
          <w:lang w:val="hr-HR"/>
        </w:rPr>
        <w:t xml:space="preserve"> ( </w:t>
      </w:r>
      <w:proofErr w:type="spellStart"/>
      <w:r>
        <w:rPr>
          <w:sz w:val="24"/>
          <w:lang w:val="hr-HR"/>
        </w:rPr>
        <w:t>vps</w:t>
      </w:r>
      <w:proofErr w:type="spellEnd"/>
      <w:r>
        <w:rPr>
          <w:sz w:val="24"/>
          <w:lang w:val="hr-HR"/>
        </w:rPr>
        <w:t xml:space="preserve"> 2.942.408,40 kn). Djelomično su troškovi naplaćeni što je iskazano u ostvarenim prilivima, no tužitelj je tijekom postupka predložio povlačenje tužbe uz daljnje snošenje svako svojih troškova, te je u konačnosti parnica okončana povlačenjem tužbe. Plaćeni porezi i doprinosi odnose se prioritetno na plaćene obaveze s osnova PDV-a, te manjim dijelom na plaćene druge poreze i doprinose.</w:t>
      </w:r>
    </w:p>
    <w:p w:rsidRDefault="00745959" w:rsidP="00CF4F4C" w:rsidR="00745959" w:rsidRPr="00CF4F4C">
      <w:pPr>
        <w:rPr>
          <w:lang w:val="hr-HR"/>
        </w:rPr>
      </w:pPr>
      <w:r>
        <w:t xml:space="preserve">                    </w:t>
      </w:r>
      <w:r w:rsidR="00CF4F4C">
        <w:t xml:space="preserve">                               </w:t>
      </w:r>
    </w:p>
    <w:p w:rsidRDefault="00CF4F4C" w:rsidP="00745959" w:rsidR="00745959">
      <w:pPr>
        <w:pStyle w:val="Tijeloteksta"/>
        <w:jc w:val="both"/>
      </w:pPr>
      <w:r>
        <w:t>III  RADNJE KOJE ĆE SE PODUZETI U NAREDNOM RAZDOBLJU</w:t>
      </w:r>
    </w:p>
    <w:p w:rsidRDefault="00761784" w:rsidP="00745959" w:rsidR="00761784">
      <w:pPr>
        <w:pStyle w:val="Tijeloteksta"/>
        <w:jc w:val="both"/>
      </w:pPr>
    </w:p>
    <w:p w:rsidRDefault="00FE2119" w:rsidP="00745959" w:rsidR="00761784">
      <w:pPr>
        <w:pStyle w:val="Tijeloteksta"/>
        <w:jc w:val="both"/>
      </w:pPr>
      <w:r>
        <w:t xml:space="preserve">U narednom razdoblju biti će održano posebno ispitno ročište, te nakon istog podnesen završni račun stečajnom sucu. </w:t>
      </w:r>
    </w:p>
    <w:p w:rsidRDefault="00761784" w:rsidP="00745959" w:rsidR="00761784">
      <w:pPr>
        <w:pStyle w:val="Tijeloteksta"/>
        <w:jc w:val="both"/>
      </w:pPr>
      <w:r>
        <w:t xml:space="preserve">                                                                                                   Stečajni upravitelj:</w:t>
      </w:r>
    </w:p>
    <w:p w:rsidRDefault="00761784" w:rsidP="00745959" w:rsidR="00761784">
      <w:pPr>
        <w:pStyle w:val="Tijeloteksta"/>
        <w:jc w:val="both"/>
      </w:pPr>
    </w:p>
    <w:p w:rsidRDefault="00761784" w:rsidP="00745959" w:rsidR="00761784">
      <w:pPr>
        <w:pStyle w:val="Tijeloteksta"/>
        <w:jc w:val="both"/>
      </w:pPr>
      <w:r>
        <w:t xml:space="preserve">                                                                                                   Zdravko </w:t>
      </w:r>
      <w:proofErr w:type="spellStart"/>
      <w:r>
        <w:t>Mitak</w:t>
      </w:r>
      <w:proofErr w:type="spellEnd"/>
      <w:r>
        <w:t xml:space="preserve"> dipl. oec.</w:t>
      </w:r>
    </w:p>
    <w:p w:rsidRDefault="00761784" w:rsidP="00745959" w:rsidR="00761784">
      <w:pPr>
        <w:pStyle w:val="Tijeloteksta"/>
        <w:jc w:val="both"/>
      </w:pPr>
      <w:r>
        <w:t>Zagreb, 10.3.2018.g.</w:t>
      </w:r>
    </w:p>
    <w:sectPr w:rsidR="0076178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F985116"/>
    <w:multiLevelType w:val="singleLevel"/>
    <w:tmpl w:val="E86289A2"/>
    <w:lvl w:ilvl="0">
      <w:start w:val="1"/>
      <w:numFmt w:val="upperRoman"/>
      <w:pStyle w:val="Naslov2"/>
      <w:lvlText w:val="%1."/>
      <w:lvlJc w:val="left"/>
      <w:pPr>
        <w:tabs>
          <w:tab w:pos="567" w:val="num"/>
        </w:tabs>
        <w:ind w:hanging="567" w:left="567"/>
      </w:p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5959"/>
    <w:rsid w:val="0008222C"/>
    <w:rsid w:val="004C6B25"/>
    <w:rsid w:val="006800B9"/>
    <w:rsid w:val="00745959"/>
    <w:rsid w:val="00761784"/>
    <w:rsid w:val="007954D2"/>
    <w:rsid w:val="00CF4F4C"/>
    <w:rsid w:val="00FE21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5959"/>
    <w:pPr>
      <w:spacing w:lineRule="auto" w:line="240" w:after="0"/>
    </w:pPr>
    <w:rPr>
      <w:rFonts w:cs="Times New Roman" w:eastAsia="Times New Roman" w:hAnsi="Times New Roman" w:ascii="Times New Roman"/>
      <w:sz w:val="20"/>
      <w:szCs w:val="20"/>
      <w:lang w:eastAsia="hr-HR" w:val="en-US"/>
    </w:rPr>
  </w:style>
  <w:style w:styleId="Naslov2" w:type="paragraph">
    <w:name w:val="heading 2"/>
    <w:basedOn w:val="Normal"/>
    <w:next w:val="Normal"/>
    <w:link w:val="Naslov2Char"/>
    <w:semiHidden/>
    <w:unhideWhenUsed/>
    <w:qFormat/>
    <w:rsid w:val="00745959"/>
    <w:pPr>
      <w:keepNext/>
      <w:numPr>
        <w:numId w:val="1"/>
      </w:numPr>
      <w:outlineLvl w:val="1"/>
    </w:pPr>
    <w:rPr>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745959"/>
    <w:rPr>
      <w:rFonts w:cs="Times New Roman" w:eastAsia="Times New Roman" w:hAnsi="Times New Roman" w:ascii="Times New Roman"/>
      <w:sz w:val="24"/>
      <w:szCs w:val="20"/>
      <w:lang w:eastAsia="hr-HR"/>
    </w:rPr>
  </w:style>
  <w:style w:styleId="Tijeloteksta" w:type="paragraph">
    <w:name w:val="Body Text"/>
    <w:basedOn w:val="Normal"/>
    <w:link w:val="TijelotekstaChar"/>
    <w:unhideWhenUsed/>
    <w:rsid w:val="00745959"/>
    <w:rPr>
      <w:sz w:val="24"/>
      <w:lang w:val="hr-HR"/>
    </w:rPr>
  </w:style>
  <w:style w:customStyle="true" w:styleId="TijelotekstaChar" w:type="character">
    <w:name w:val="Tijelo teksta Char"/>
    <w:basedOn w:val="Zadanifontodlomka"/>
    <w:link w:val="Tijeloteksta"/>
    <w:rsid w:val="00745959"/>
    <w:rPr>
      <w:rFonts w:cs="Times New Roman" w:eastAsia="Times New Roman" w:hAnsi="Times New Roman" w:ascii="Times New Roman"/>
      <w:sz w:val="24"/>
      <w:szCs w:val="20"/>
      <w:lang w:eastAsia="hr-HR"/>
    </w:rPr>
  </w:style>
  <w:style w:styleId="Reetkatablice" w:type="table">
    <w:name w:val="Table Grid"/>
    <w:basedOn w:val="Obinatablica"/>
    <w:uiPriority w:val="59"/>
    <w:rsid w:val="00745959"/>
    <w:pPr>
      <w:spacing w:lineRule="auto" w:line="240" w:after="0"/>
    </w:p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8222C"/>
    <w:rPr>
      <w:color w:val="808080"/>
      <w:bdr w:space="0" w:sz="0" w:color="auto" w:val="none"/>
      <w:shd w:fill="auto" w:color="auto" w:val="clear"/>
    </w:rPr>
  </w:style>
  <w:style w:customStyle="true" w:styleId="eSPISCCParagraphDefaultFont" w:type="character">
    <w:name w:val="eSPIS_CC_Paragraph Default Font"/>
    <w:basedOn w:val="Zadanifontodlomka"/>
    <w:rsid w:val="000822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222C"/>
    <w:rPr>
      <w:sz w:val="24"/>
      <w:bdr w:space="0" w:sz="0" w:color="auto" w:val="none"/>
      <w:shd w:fill="FFFFCC" w:color="auto" w:val="clear"/>
      <w:lang w:val="hr-HR"/>
    </w:rPr>
  </w:style>
  <w:style w:customStyle="true" w:styleId="PozadinaSvijetloCrvena" w:type="character">
    <w:name w:val="Pozadina_SvijetloCrvena"/>
    <w:basedOn w:val="eSPISCCParagraphDefaultFont"/>
    <w:rsid w:val="000822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22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5959"/>
    <w:pPr>
      <w:spacing w:after="0" w:line="240" w:lineRule="auto"/>
    </w:pPr>
    <w:rPr>
      <w:rFonts w:ascii="Times New Roman" w:cs="Times New Roman" w:eastAsia="Times New Roman" w:hAnsi="Times New Roman"/>
      <w:sz w:val="20"/>
      <w:szCs w:val="20"/>
      <w:lang w:eastAsia="hr-HR" w:val="en-US"/>
    </w:rPr>
  </w:style>
  <w:style w:styleId="Naslov2" w:type="paragraph">
    <w:name w:val="heading 2"/>
    <w:basedOn w:val="Normal"/>
    <w:next w:val="Normal"/>
    <w:link w:val="Naslov2Char"/>
    <w:semiHidden/>
    <w:unhideWhenUsed/>
    <w:qFormat/>
    <w:rsid w:val="00745959"/>
    <w:pPr>
      <w:keepNext/>
      <w:numPr>
        <w:numId w:val="1"/>
      </w:numPr>
      <w:outlineLvl w:val="1"/>
    </w:pPr>
    <w:rPr>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745959"/>
    <w:rPr>
      <w:rFonts w:ascii="Times New Roman" w:cs="Times New Roman" w:eastAsia="Times New Roman" w:hAnsi="Times New Roman"/>
      <w:sz w:val="24"/>
      <w:szCs w:val="20"/>
      <w:lang w:eastAsia="hr-HR"/>
    </w:rPr>
  </w:style>
  <w:style w:styleId="Tijeloteksta" w:type="paragraph">
    <w:name w:val="Body Text"/>
    <w:basedOn w:val="Normal"/>
    <w:link w:val="TijelotekstaChar"/>
    <w:unhideWhenUsed/>
    <w:rsid w:val="00745959"/>
    <w:rPr>
      <w:sz w:val="24"/>
      <w:lang w:val="hr-HR"/>
    </w:rPr>
  </w:style>
  <w:style w:customStyle="1" w:styleId="TijelotekstaChar" w:type="character">
    <w:name w:val="Tijelo teksta Char"/>
    <w:basedOn w:val="Zadanifontodlomka"/>
    <w:link w:val="Tijeloteksta"/>
    <w:rsid w:val="00745959"/>
    <w:rPr>
      <w:rFonts w:ascii="Times New Roman" w:cs="Times New Roman" w:eastAsia="Times New Roman" w:hAnsi="Times New Roman"/>
      <w:sz w:val="24"/>
      <w:szCs w:val="20"/>
      <w:lang w:eastAsia="hr-HR"/>
    </w:rPr>
  </w:style>
  <w:style w:styleId="Reetkatablice" w:type="table">
    <w:name w:val="Table Grid"/>
    <w:basedOn w:val="Obinatablica"/>
    <w:uiPriority w:val="59"/>
    <w:rsid w:val="00745959"/>
    <w:pPr>
      <w:spacing w:after="0" w:line="240" w:lineRule="auto"/>
    </w:p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8222C"/>
    <w:rPr>
      <w:color w:val="808080"/>
      <w:bdr w:color="auto" w:space="0" w:sz="0" w:val="none"/>
      <w:shd w:color="auto" w:fill="auto" w:val="clear"/>
    </w:rPr>
  </w:style>
  <w:style w:customStyle="1" w:styleId="eSPISCCParagraphDefaultFont" w:type="character">
    <w:name w:val="eSPIS_CC_Paragraph Default Font"/>
    <w:basedOn w:val="Zadanifontodlomka"/>
    <w:rsid w:val="000822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222C"/>
    <w:rPr>
      <w:sz w:val="24"/>
      <w:bdr w:color="auto" w:space="0" w:sz="0" w:val="none"/>
      <w:shd w:color="auto" w:fill="FFFFCC" w:val="clear"/>
      <w:lang w:val="hr-HR"/>
    </w:rPr>
  </w:style>
  <w:style w:customStyle="1" w:styleId="PozadinaSvijetloCrvena" w:type="character">
    <w:name w:val="Pozadina_SvijetloCrvena"/>
    <w:basedOn w:val="eSPISCCParagraphDefaultFont"/>
    <w:rsid w:val="000822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22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3831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46C863-B12A-43B7-A4FE-E42813A301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660</properties:Words>
  <properties:Characters>4132</properties:Characters>
  <properties:Lines>116</properties:Lines>
  <properties:Paragraphs>55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2018-03-12T12:58:00Z</dcterms:created>
  <dc:creator>Zdravko</dc:creator>
  <cp:lastModifiedBy>Sonja Pilić</cp:lastModifiedBy>
  <cp:lastPrinted>2018-03-13T06:53:00Z</cp:lastPrinted>
  <dcterms:modified xmlns:xsi="http://www.w3.org/2001/XMLSchema-instance" xsi:type="dcterms:W3CDTF">2018-03-13T06:54:00Z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(ORTOIMPLANT izv 03 2018.docx)</vt:lpwstr>
  </prop:property>
  <prop:property name="CC_coloring" pid="4" fmtid="{D5CDD505-2E9C-101B-9397-08002B2CF9AE}">
    <vt:bool>false</vt:bool>
  </prop:property>
  <prop:property name="BrojStranica" pid="5" fmtid="{D5CDD505-2E9C-101B-9397-08002B2CF9AE}">
    <vt:i4>2</vt:i4>
  </prop:property>
</prop:Properties>
</file>