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d38ce" w14:paraId="7dd38ce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F45AB8">
        <w:rPr>
          <w:b/>
        </w:rPr>
        <w:t>840</w:t>
      </w:r>
      <w:r w:rsidR="000D330B" w:rsidRPr="005153ED">
        <w:rPr>
          <w:b/>
        </w:rPr>
        <w:t>/201</w:t>
      </w:r>
      <w:r w:rsidR="00F45AB8">
        <w:rPr>
          <w:b/>
        </w:rPr>
        <w:t>7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F45AB8" w:rsidP="00D57A11" w:rsidR="00DB1319" w:rsidRPr="003C75C1">
      <w:pPr>
        <w:rPr>
          <w:b/>
        </w:rPr>
      </w:pPr>
      <w:r>
        <w:rPr>
          <w:b/>
        </w:rPr>
        <w:t>Split, Sukoišanska 6</w:t>
      </w:r>
    </w:p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C53151" w:rsidP="001C5EF9" w:rsidR="00DB1319" w:rsidRPr="001C5EF9">
      <w:pPr>
        <w:jc w:val="center"/>
        <w:rPr>
          <w:b/>
        </w:rPr>
      </w:pPr>
      <w:r>
        <w:rPr>
          <w:b/>
        </w:rPr>
        <w:t>ZAKLJUČAK</w:t>
      </w:r>
    </w:p>
    <w:p w:rsidRDefault="00CC2466" w:rsidP="00D57A11" w:rsidR="00CC2466" w:rsidRPr="005153ED"/>
    <w:p w:rsidRDefault="00181AB7" w:rsidP="00181AB7" w:rsidR="00181AB7" w:rsidRPr="00181AB7">
      <w:pPr>
        <w:ind w:firstLine="708"/>
        <w:jc w:val="both"/>
      </w:pPr>
      <w:r w:rsidRPr="00181AB7">
        <w:t xml:space="preserve">Trgovački sud u Splitu, po sucu toga suda Katarini Franković, u stečajnom postupku nad dužnikom u stečajnom postupku nad </w:t>
      </w:r>
      <w:r w:rsidR="00F45AB8" w:rsidRPr="00F45AB8">
        <w:t>Stečajna masa iza ROWE I OHMANN d.o.o., Milna, Milna bb</w:t>
      </w:r>
      <w:r w:rsidRPr="00181AB7">
        <w:t xml:space="preserve">, zastupano po stečajnom upravitelju </w:t>
      </w:r>
      <w:r w:rsidR="00F45AB8" w:rsidRPr="00F45AB8">
        <w:t>Ante Gabelica, Split, Ruđera Boškovića 7/125, OIB: 68765596631</w:t>
      </w:r>
      <w:r>
        <w:t>, izvan ročišta, dana 0</w:t>
      </w:r>
      <w:r w:rsidR="00F45AB8">
        <w:t>2. listopada</w:t>
      </w:r>
      <w:r w:rsidRPr="00181AB7">
        <w:t xml:space="preserve"> 2018.g.</w:t>
      </w:r>
    </w:p>
    <w:p w:rsidRDefault="00CC2466" w:rsidP="00D57A11" w:rsidR="00CC2466" w:rsidRPr="005153ED"/>
    <w:p w:rsidRDefault="00C53151" w:rsidP="00C53151" w:rsidR="00C53151" w:rsidRPr="00C53151">
      <w:pPr>
        <w:jc w:val="center"/>
        <w:rPr>
          <w:rFonts w:eastAsiaTheme="minorHAnsi"/>
          <w:b/>
          <w:lang w:eastAsia="en-US"/>
        </w:rPr>
      </w:pPr>
      <w:r w:rsidRPr="00C53151">
        <w:rPr>
          <w:rFonts w:eastAsiaTheme="minorHAnsi"/>
          <w:b/>
          <w:lang w:eastAsia="en-US"/>
        </w:rPr>
        <w:t>z a k lj u č i o     j e</w:t>
      </w:r>
    </w:p>
    <w:p w:rsidRDefault="00C53151" w:rsidP="00C53151" w:rsidR="00C53151" w:rsidRPr="00C53151">
      <w:pPr>
        <w:jc w:val="both"/>
        <w:rPr>
          <w:rFonts w:eastAsiaTheme="minorHAnsi"/>
          <w:lang w:eastAsia="en-US"/>
        </w:rPr>
      </w:pPr>
    </w:p>
    <w:p w:rsidRDefault="00C53151" w:rsidP="00C53151" w:rsidR="00C53151" w:rsidRPr="00C53151">
      <w:pPr>
        <w:ind w:firstLine="708"/>
        <w:jc w:val="both"/>
        <w:rPr>
          <w:rFonts w:eastAsiaTheme="minorHAnsi"/>
          <w:lang w:eastAsia="en-US"/>
        </w:rPr>
      </w:pPr>
      <w:r w:rsidRPr="00C53151">
        <w:rPr>
          <w:rFonts w:eastAsiaTheme="minorHAnsi"/>
          <w:lang w:eastAsia="en-US"/>
        </w:rPr>
        <w:t>Upućuje se stečajni upravitelj utvrditi postoje li u poslovnim knjigama dužnika evidentirani vjerovnici sa stalnim boravištem, domicilom ili sjedištem u drugoj državi članici, te ukoliko ima takvih vjerovnika se poziva utvrditi i ispitati tražbine i utvrditi o kojem isplatnom redu se radi.</w:t>
      </w:r>
    </w:p>
    <w:p w:rsidRDefault="00C53151" w:rsidP="00C53151" w:rsidR="00C53151" w:rsidRPr="00C53151">
      <w:pPr>
        <w:jc w:val="both"/>
        <w:rPr>
          <w:rFonts w:eastAsiaTheme="minorHAnsi"/>
          <w:lang w:eastAsia="en-US"/>
        </w:rPr>
      </w:pPr>
    </w:p>
    <w:p w:rsidRDefault="00C53151" w:rsidP="00C53151" w:rsidR="00C53151" w:rsidRPr="00C53151">
      <w:pPr>
        <w:jc w:val="center"/>
        <w:rPr>
          <w:rFonts w:eastAsiaTheme="minorHAnsi"/>
          <w:b/>
          <w:lang w:eastAsia="en-US"/>
        </w:rPr>
      </w:pPr>
      <w:r w:rsidRPr="00C53151">
        <w:rPr>
          <w:rFonts w:eastAsiaTheme="minorHAnsi"/>
          <w:b/>
          <w:lang w:eastAsia="en-US"/>
        </w:rPr>
        <w:t>Obrazloženje</w:t>
      </w:r>
    </w:p>
    <w:p w:rsidRDefault="00C53151" w:rsidP="00C53151" w:rsidR="00C53151" w:rsidRPr="00C53151">
      <w:pPr>
        <w:jc w:val="both"/>
        <w:rPr>
          <w:rFonts w:eastAsiaTheme="minorHAnsi"/>
          <w:lang w:eastAsia="en-US"/>
        </w:rPr>
      </w:pPr>
    </w:p>
    <w:p w:rsidRDefault="00C53151" w:rsidP="00C53151" w:rsidR="00C53151" w:rsidRPr="00C53151">
      <w:pPr>
        <w:ind w:firstLine="708"/>
        <w:jc w:val="both"/>
        <w:rPr>
          <w:rFonts w:eastAsiaTheme="minorHAnsi"/>
          <w:lang w:eastAsia="en-US"/>
        </w:rPr>
      </w:pPr>
      <w:r w:rsidRPr="00C53151">
        <w:rPr>
          <w:rFonts w:eastAsiaTheme="minorHAnsi"/>
          <w:lang w:eastAsia="en-US"/>
        </w:rPr>
        <w:t>Uredba vijeća (EZ) broj 1346/2000 stupila je na snagu 31. svibnja 2002. te je u cijelosti obvezujuća i izravno se primjenjuje u državama članica u skladu s Ugovorom o osnivanju Europske zajednice. Isto tako, s obzirom na to da je nad navedenim dužnikom stečajni postupak otvoren 23. svibnja 2016. primjenjuje se navedena Uredba broj 1346/2000 i njezina primjena vrijedi do 26. lipnja 2017., kada je stupila na snagu Uredba (EU) 2015/848 Europskog Parlamenta i Vijeća od 20. svibnja 2015. o postupku u slučaju nesolventnosti. Prema članku 92. navedene Uredbe primjenjuje se od 26. lipnja 2017.godine</w:t>
      </w:r>
    </w:p>
    <w:p w:rsidRDefault="00C53151" w:rsidP="00C53151" w:rsidR="00C53151" w:rsidRPr="00C53151">
      <w:pPr>
        <w:ind w:firstLine="708"/>
        <w:jc w:val="both"/>
        <w:rPr>
          <w:rFonts w:eastAsiaTheme="minorHAnsi"/>
          <w:lang w:eastAsia="en-US"/>
        </w:rPr>
      </w:pPr>
    </w:p>
    <w:p w:rsidRDefault="00C53151" w:rsidP="00C53151" w:rsidR="00C53151" w:rsidRPr="00C53151">
      <w:pPr>
        <w:ind w:firstLine="708"/>
        <w:jc w:val="both"/>
        <w:rPr>
          <w:rFonts w:eastAsiaTheme="minorHAnsi"/>
          <w:lang w:eastAsia="en-US"/>
        </w:rPr>
      </w:pPr>
      <w:r w:rsidRPr="00C53151">
        <w:rPr>
          <w:rFonts w:eastAsiaTheme="minorHAnsi"/>
          <w:lang w:eastAsia="en-US"/>
        </w:rPr>
        <w:t>Prema članku 39. Uredbe vijeća (EZ) broj 1346/2000, a kojim je regulirano „Pravo na prijavu tražbina“, bilo koji vjerovnik koji ima stalno boravište, domicil ili sjedište u državi članici koja nije država u kojoj je pokrenut postupak, uključujući i porezna tijela i tijela socijalne sigurnosti država članica, imaju pravo pisanim putem prijaviti tražbine u stečajnom postupku. Nadalje, prema članku 40. te Uredbe čim se u državi članici pokrene stečajni postupak, nadležni sud te države ili stečajni upravitelj kojeg je imenovao odmah obavještavaju poznate vjerovnike koji imaju stalno boravište, domicil ili sjedište u drugim državama članicama; a takva informacija, dana u pojedinačnoj obavijesti, posebno uključuje rokove, kazne, propisane u vezi s takvim rokovima, tijelo ili instituciju ovlaštenu da zaprimi prijavu tražbine ili druge propisane mjere; a takva obavijest također navodi trebaju li vjerovnici čije tražbine imaju pravo prvenstva ili koje su osigurane stvarnim pravima, prijaviti svoje tražbine.</w:t>
      </w:r>
    </w:p>
    <w:p w:rsidRDefault="00C53151" w:rsidP="00C53151" w:rsidR="00C53151" w:rsidRPr="00C53151">
      <w:pPr>
        <w:jc w:val="both"/>
        <w:rPr>
          <w:rFonts w:eastAsiaTheme="minorHAnsi"/>
          <w:lang w:eastAsia="en-US"/>
        </w:rPr>
      </w:pPr>
    </w:p>
    <w:p w:rsidRDefault="00C53151" w:rsidP="00C53151" w:rsidR="00C53151" w:rsidRPr="00C53151">
      <w:pPr>
        <w:ind w:firstLine="708"/>
        <w:jc w:val="both"/>
        <w:rPr>
          <w:rFonts w:eastAsiaTheme="minorHAnsi"/>
          <w:lang w:eastAsia="en-US"/>
        </w:rPr>
      </w:pPr>
      <w:r w:rsidRPr="00C53151">
        <w:rPr>
          <w:rFonts w:eastAsiaTheme="minorHAnsi"/>
          <w:lang w:eastAsia="en-US"/>
        </w:rPr>
        <w:lastRenderedPageBreak/>
        <w:t>Slijedom navedenog naloženo je stečajnom upravitelju očitovati se i ispitati navedene tražbinu ukoliko iste postoje. Zbog navedenog, na temelju spomenutog propisa, odlučeno je kao u izreci.</w:t>
      </w:r>
    </w:p>
    <w:p w:rsidRDefault="00C53151" w:rsidP="00C53151" w:rsidR="00C53151" w:rsidRPr="00C53151">
      <w:pPr>
        <w:jc w:val="both"/>
        <w:rPr>
          <w:rFonts w:eastAsiaTheme="minorHAnsi"/>
          <w:lang w:eastAsia="en-US"/>
        </w:rPr>
      </w:pPr>
    </w:p>
    <w:p w:rsidRDefault="00C53151" w:rsidP="00C53151" w:rsidR="00C53151" w:rsidRPr="00C53151">
      <w:pPr>
        <w:jc w:val="both"/>
        <w:rPr>
          <w:rFonts w:eastAsiaTheme="minorHAnsi"/>
          <w:lang w:eastAsia="en-US"/>
        </w:rPr>
      </w:pPr>
    </w:p>
    <w:p w:rsidRDefault="00C53151" w:rsidP="00C53151" w:rsidR="00C53151" w:rsidRPr="00C53151">
      <w:pPr>
        <w:jc w:val="center"/>
        <w:rPr>
          <w:rFonts w:eastAsiaTheme="minorHAnsi"/>
          <w:b/>
          <w:lang w:eastAsia="en-US"/>
        </w:rPr>
      </w:pPr>
      <w:r w:rsidRPr="00C53151">
        <w:rPr>
          <w:rFonts w:eastAsiaTheme="minorHAnsi"/>
          <w:b/>
          <w:lang w:eastAsia="en-US"/>
        </w:rPr>
        <w:t xml:space="preserve">U </w:t>
      </w:r>
      <w:r>
        <w:rPr>
          <w:rFonts w:eastAsiaTheme="minorHAnsi"/>
          <w:b/>
          <w:lang w:eastAsia="en-US"/>
        </w:rPr>
        <w:t>Split</w:t>
      </w:r>
      <w:r w:rsidRPr="00C53151">
        <w:rPr>
          <w:rFonts w:eastAsiaTheme="minorHAnsi"/>
          <w:b/>
          <w:lang w:eastAsia="en-US"/>
        </w:rPr>
        <w:t xml:space="preserve">u, </w:t>
      </w:r>
      <w:r>
        <w:rPr>
          <w:rFonts w:eastAsiaTheme="minorHAnsi"/>
          <w:b/>
          <w:lang w:eastAsia="en-US"/>
        </w:rPr>
        <w:t>02</w:t>
      </w:r>
      <w:r w:rsidRPr="00C53151">
        <w:rPr>
          <w:rFonts w:eastAsiaTheme="minorHAnsi"/>
          <w:b/>
          <w:lang w:eastAsia="en-US"/>
        </w:rPr>
        <w:t xml:space="preserve">. </w:t>
      </w:r>
      <w:r>
        <w:rPr>
          <w:rFonts w:eastAsiaTheme="minorHAnsi"/>
          <w:b/>
          <w:lang w:eastAsia="en-US"/>
        </w:rPr>
        <w:t>listopada</w:t>
      </w:r>
      <w:r w:rsidRPr="00C53151">
        <w:rPr>
          <w:rFonts w:eastAsiaTheme="minorHAnsi"/>
          <w:b/>
          <w:lang w:eastAsia="en-US"/>
        </w:rPr>
        <w:t xml:space="preserve"> 2018. godine</w:t>
      </w:r>
    </w:p>
    <w:p w:rsidRDefault="00C53151" w:rsidP="00C53151" w:rsidR="00C53151" w:rsidRPr="00C53151">
      <w:pPr>
        <w:jc w:val="both"/>
        <w:rPr>
          <w:rFonts w:eastAsiaTheme="minorHAnsi"/>
          <w:b/>
          <w:lang w:eastAsia="en-US"/>
        </w:rPr>
      </w:pPr>
    </w:p>
    <w:p w:rsidRDefault="00C53151" w:rsidP="00C53151" w:rsidR="00C53151" w:rsidRPr="00C53151">
      <w:pPr>
        <w:ind w:firstLine="708" w:left="5664"/>
        <w:jc w:val="both"/>
        <w:rPr>
          <w:rFonts w:eastAsiaTheme="minorHAnsi"/>
          <w:b/>
          <w:lang w:eastAsia="en-US"/>
        </w:rPr>
      </w:pPr>
      <w:r w:rsidRPr="00C53151">
        <w:rPr>
          <w:rFonts w:eastAsiaTheme="minorHAnsi"/>
          <w:b/>
          <w:lang w:eastAsia="en-US"/>
        </w:rPr>
        <w:t>Sudac:</w:t>
      </w:r>
    </w:p>
    <w:p w:rsidRDefault="00C53151" w:rsidP="00C53151" w:rsidR="00C53151" w:rsidRPr="00C53151">
      <w:pPr>
        <w:jc w:val="both"/>
        <w:rPr>
          <w:rFonts w:eastAsiaTheme="minorHAnsi"/>
          <w:b/>
          <w:lang w:eastAsia="en-US"/>
        </w:rPr>
      </w:pPr>
    </w:p>
    <w:p w:rsidRDefault="00C53151" w:rsidP="00C53151" w:rsidR="00C53151" w:rsidRPr="00C53151">
      <w:pPr>
        <w:ind w:firstLine="708" w:left="5664"/>
        <w:jc w:val="both"/>
        <w:rPr>
          <w:rFonts w:eastAsiaTheme="minorHAnsi"/>
          <w:b/>
          <w:lang w:eastAsia="en-US"/>
        </w:rPr>
      </w:pPr>
      <w:r w:rsidRPr="00C53151">
        <w:rPr>
          <w:rFonts w:eastAsiaTheme="minorHAnsi"/>
          <w:b/>
          <w:lang w:eastAsia="en-US"/>
        </w:rPr>
        <w:t>Katarina Franković</w:t>
      </w:r>
    </w:p>
    <w:p w:rsidRDefault="00C53151" w:rsidP="00C53151" w:rsidR="00C53151" w:rsidRPr="00C53151">
      <w:pPr>
        <w:jc w:val="both"/>
        <w:rPr>
          <w:rFonts w:eastAsiaTheme="minorHAnsi"/>
          <w:lang w:eastAsia="en-US"/>
        </w:rPr>
      </w:pPr>
    </w:p>
    <w:p w:rsidRDefault="00C53151" w:rsidP="00C53151" w:rsidR="00C53151" w:rsidRPr="00C53151">
      <w:pPr>
        <w:jc w:val="both"/>
        <w:rPr>
          <w:rFonts w:eastAsiaTheme="minorHAnsi"/>
          <w:lang w:eastAsia="en-US"/>
        </w:rPr>
      </w:pPr>
    </w:p>
    <w:p w:rsidRDefault="00C53151" w:rsidP="00C53151" w:rsidR="00C53151" w:rsidRPr="00C53151">
      <w:pPr>
        <w:jc w:val="both"/>
        <w:rPr>
          <w:rFonts w:eastAsiaTheme="minorHAnsi"/>
          <w:lang w:eastAsia="en-US"/>
        </w:rPr>
      </w:pPr>
      <w:r w:rsidRPr="00C53151">
        <w:rPr>
          <w:rFonts w:eastAsiaTheme="minorHAnsi"/>
          <w:b/>
          <w:lang w:eastAsia="en-US"/>
        </w:rPr>
        <w:t>PRAVNA POUKA:</w:t>
      </w:r>
      <w:r w:rsidRPr="00C53151">
        <w:rPr>
          <w:rFonts w:eastAsiaTheme="minorHAnsi"/>
          <w:lang w:eastAsia="en-US"/>
        </w:rPr>
        <w:t xml:space="preserve"> </w:t>
      </w:r>
    </w:p>
    <w:p w:rsidRDefault="00C53151" w:rsidP="00C53151" w:rsidR="00C53151" w:rsidRPr="00C53151">
      <w:pPr>
        <w:jc w:val="both"/>
        <w:rPr>
          <w:rFonts w:eastAsiaTheme="minorHAnsi"/>
          <w:lang w:eastAsia="en-US"/>
        </w:rPr>
      </w:pPr>
      <w:r w:rsidRPr="00C53151">
        <w:rPr>
          <w:rFonts w:eastAsiaTheme="minorHAnsi"/>
          <w:lang w:eastAsia="en-US"/>
        </w:rPr>
        <w:t>Protiv zaključka nije dopušten pravni lijek u skladu sa čl. 19. St. 7. SZ-a. Primitak ovog zaključka računa se sukladno čl. 12. SZ-a istekom osmog dana od dana objave na e-Oglasnoj ploči suda.</w:t>
      </w:r>
    </w:p>
    <w:p w:rsidRDefault="00C53151" w:rsidP="00C53151" w:rsidR="00C53151" w:rsidRPr="00C53151">
      <w:pPr>
        <w:jc w:val="both"/>
        <w:rPr>
          <w:rFonts w:eastAsiaTheme="minorHAnsi"/>
          <w:lang w:eastAsia="en-US"/>
        </w:rPr>
      </w:pPr>
      <w:r w:rsidRPr="00C53151">
        <w:rPr>
          <w:rFonts w:eastAsiaTheme="minorHAnsi"/>
          <w:lang w:eastAsia="en-US"/>
        </w:rPr>
        <w:t xml:space="preserve">DN-a:   </w:t>
      </w:r>
    </w:p>
    <w:p w:rsidRDefault="00C53151" w:rsidP="00C53151" w:rsidR="00C53151" w:rsidRPr="00C53151">
      <w:pPr>
        <w:jc w:val="both"/>
        <w:rPr>
          <w:rFonts w:eastAsiaTheme="minorHAnsi"/>
          <w:lang w:eastAsia="en-US"/>
        </w:rPr>
      </w:pPr>
      <w:r w:rsidRPr="00C53151">
        <w:rPr>
          <w:rFonts w:eastAsiaTheme="minorHAnsi"/>
          <w:lang w:eastAsia="en-US"/>
        </w:rPr>
        <w:t>-</w:t>
      </w:r>
      <w:r w:rsidRPr="00C53151">
        <w:rPr>
          <w:rFonts w:eastAsiaTheme="minorHAnsi"/>
          <w:lang w:eastAsia="en-US"/>
        </w:rPr>
        <w:tab/>
        <w:t>stečajnom upravitelju putem e oglasna ploča suda</w:t>
      </w:r>
    </w:p>
    <w:p w:rsidRDefault="00C53151" w:rsidP="00C53151" w:rsidR="00C53151" w:rsidRPr="00C53151">
      <w:pPr>
        <w:jc w:val="both"/>
        <w:rPr>
          <w:rFonts w:eastAsiaTheme="minorHAnsi"/>
          <w:lang w:eastAsia="en-US"/>
        </w:rPr>
      </w:pPr>
      <w:r w:rsidRPr="00C53151">
        <w:rPr>
          <w:rFonts w:eastAsiaTheme="minorHAnsi"/>
          <w:lang w:eastAsia="en-US"/>
        </w:rPr>
        <w:t>-</w:t>
      </w:r>
      <w:r w:rsidRPr="00C53151">
        <w:rPr>
          <w:rFonts w:eastAsiaTheme="minorHAnsi"/>
          <w:lang w:eastAsia="en-US"/>
        </w:rPr>
        <w:tab/>
        <w:t>mrežna stranica e-oglasna ploča suda</w:t>
      </w:r>
    </w:p>
    <w:p w:rsidRDefault="00C53151" w:rsidP="00C53151" w:rsidR="00C53151" w:rsidRPr="00C53151">
      <w:pPr>
        <w:jc w:val="both"/>
        <w:rPr>
          <w:rFonts w:eastAsiaTheme="minorHAnsi"/>
          <w:lang w:eastAsia="en-US"/>
        </w:rPr>
      </w:pPr>
      <w:r w:rsidRPr="00C53151">
        <w:rPr>
          <w:rFonts w:eastAsiaTheme="minorHAnsi"/>
          <w:lang w:eastAsia="en-US"/>
        </w:rPr>
        <w:tab/>
      </w:r>
    </w:p>
    <w:p w:rsidRDefault="00C53151" w:rsidP="00C53151" w:rsidR="00C53151" w:rsidRPr="00C53151">
      <w:pPr>
        <w:jc w:val="both"/>
        <w:rPr>
          <w:rFonts w:eastAsiaTheme="minorHAnsi"/>
          <w:lang w:eastAsia="en-US"/>
        </w:rPr>
      </w:pPr>
    </w:p>
    <w:p w:rsidRDefault="00C53151" w:rsidP="00C53151" w:rsidR="00C53151" w:rsidRPr="00C53151">
      <w:pPr>
        <w:ind w:left="720"/>
        <w:jc w:val="both"/>
        <w:rPr>
          <w:rFonts w:eastAsiaTheme="minorHAnsi"/>
          <w:b/>
          <w:lang w:eastAsia="en-US"/>
        </w:rPr>
      </w:pPr>
    </w:p>
    <w:p w:rsidRDefault="00C53151" w:rsidP="00C53151" w:rsidR="00C53151" w:rsidRPr="00C53151">
      <w:pPr>
        <w:rPr>
          <w:rFonts w:eastAsiaTheme="minorHAnsi"/>
          <w:lang w:eastAsia="en-US"/>
        </w:rPr>
      </w:pPr>
    </w:p>
    <w:p w:rsidRDefault="00B21086" w:rsidP="00C53151" w:rsidR="00B21086" w:rsidRPr="003D0C55">
      <w:pPr>
        <w:jc w:val="center"/>
      </w:pPr>
    </w:p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07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F45AB8">
      <w:rPr>
        <w:rFonts w:hAnsi="Book Antiqua" w:ascii="Book Antiqua"/>
        <w:b/>
        <w:sz w:val="20"/>
        <w:szCs w:val="20"/>
      </w:rPr>
      <w:t>840</w:t>
    </w:r>
    <w:r w:rsidR="00C83042">
      <w:rPr>
        <w:rFonts w:hAnsi="Book Antiqua" w:ascii="Book Antiqua"/>
        <w:b/>
        <w:sz w:val="20"/>
        <w:szCs w:val="20"/>
      </w:rPr>
      <w:t>/201</w:t>
    </w:r>
    <w:r w:rsidR="00F45AB8">
      <w:rPr>
        <w:rFonts w:hAnsi="Book Antiqua" w:ascii="Book Antiqua"/>
        <w:b/>
        <w:sz w:val="20"/>
        <w:szCs w:val="20"/>
      </w:rPr>
      <w:t>7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172196B"/>
    <w:multiLevelType w:val="hybridMultilevel"/>
    <w:tmpl w:val="3FA4DAFE"/>
    <w:lvl w:tplc="0CBCD6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5F52680"/>
    <w:multiLevelType w:val="hybridMultilevel"/>
    <w:tmpl w:val="F3D0FE94"/>
    <w:lvl w:tplc="F9804D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48687B50"/>
    <w:multiLevelType w:val="hybridMultilevel"/>
    <w:tmpl w:val="22FC8F8C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5">
    <w:nsid w:val="4AD1663A"/>
    <w:multiLevelType w:val="hybridMultilevel"/>
    <w:tmpl w:val="32C052D8"/>
    <w:lvl w:tplc="F05A71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2386498"/>
    <w:multiLevelType w:val="hybridMultilevel"/>
    <w:tmpl w:val="BC62B0D8"/>
    <w:lvl w:tplc="B1C204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1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3"/>
  </w:num>
  <w:num w:numId="5">
    <w:abstractNumId w:val="6"/>
  </w:num>
  <w:num w:numId="6">
    <w:abstractNumId w:val="13"/>
  </w:num>
  <w:num w:numId="7">
    <w:abstractNumId w:val="5"/>
  </w:num>
  <w:num w:numId="8">
    <w:abstractNumId w:val="11"/>
  </w:num>
  <w:num w:numId="9">
    <w:abstractNumId w:val="7"/>
  </w:num>
  <w:num w:numId="10">
    <w:abstractNumId w:val="20"/>
  </w:num>
  <w:num w:numId="11">
    <w:abstractNumId w:val="21"/>
  </w:num>
  <w:num w:numId="12">
    <w:abstractNumId w:val="23"/>
  </w:num>
  <w:num w:numId="13">
    <w:abstractNumId w:val="22"/>
  </w:num>
  <w:num w:numId="14">
    <w:abstractNumId w:val="18"/>
  </w:num>
  <w:num w:numId="15">
    <w:abstractNumId w:val="12"/>
  </w:num>
  <w:num w:numId="16">
    <w:abstractNumId w:val="16"/>
  </w:num>
  <w:num w:numId="17">
    <w:abstractNumId w:val="19"/>
  </w:num>
  <w:num w:numId="18">
    <w:abstractNumId w:val="9"/>
  </w:num>
  <w:num w:numId="19">
    <w:abstractNumId w:val="8"/>
  </w:num>
  <w:num w:numId="20">
    <w:abstractNumId w:val="15"/>
  </w:num>
  <w:num w:numId="21">
    <w:abstractNumId w:val="2"/>
  </w:num>
  <w:num w:numId="22">
    <w:abstractNumId w:val="17"/>
  </w:num>
  <w:num w:numId="23">
    <w:abstractNumId w:val="14"/>
  </w:num>
  <w:num w:numId="2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54FDD"/>
    <w:rsid w:val="00062A4B"/>
    <w:rsid w:val="00066300"/>
    <w:rsid w:val="000750F1"/>
    <w:rsid w:val="000D330B"/>
    <w:rsid w:val="000E3E06"/>
    <w:rsid w:val="000E67BB"/>
    <w:rsid w:val="000F1661"/>
    <w:rsid w:val="000F6F9A"/>
    <w:rsid w:val="00126C37"/>
    <w:rsid w:val="00162766"/>
    <w:rsid w:val="0016563C"/>
    <w:rsid w:val="00180866"/>
    <w:rsid w:val="00181A73"/>
    <w:rsid w:val="00181AB7"/>
    <w:rsid w:val="00183042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9491A"/>
    <w:rsid w:val="002B6839"/>
    <w:rsid w:val="002D5BE8"/>
    <w:rsid w:val="003504AF"/>
    <w:rsid w:val="0035230F"/>
    <w:rsid w:val="00392B6A"/>
    <w:rsid w:val="003A01C7"/>
    <w:rsid w:val="003B0BCC"/>
    <w:rsid w:val="003B0CCC"/>
    <w:rsid w:val="003B0E22"/>
    <w:rsid w:val="003C75C1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4E7BDE"/>
    <w:rsid w:val="005153ED"/>
    <w:rsid w:val="00520501"/>
    <w:rsid w:val="00532867"/>
    <w:rsid w:val="005328D3"/>
    <w:rsid w:val="00542073"/>
    <w:rsid w:val="005625F7"/>
    <w:rsid w:val="00564F48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0BB3"/>
    <w:rsid w:val="006C1623"/>
    <w:rsid w:val="006C7F48"/>
    <w:rsid w:val="006E3BF4"/>
    <w:rsid w:val="006F5AFD"/>
    <w:rsid w:val="00703055"/>
    <w:rsid w:val="00733350"/>
    <w:rsid w:val="00747C5B"/>
    <w:rsid w:val="00755A4D"/>
    <w:rsid w:val="00790D87"/>
    <w:rsid w:val="0079665F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0008"/>
    <w:rsid w:val="008B5CAB"/>
    <w:rsid w:val="008C1790"/>
    <w:rsid w:val="00913047"/>
    <w:rsid w:val="00915398"/>
    <w:rsid w:val="00935AFF"/>
    <w:rsid w:val="00950B5A"/>
    <w:rsid w:val="009543D0"/>
    <w:rsid w:val="0098555E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0788"/>
    <w:rsid w:val="00AB78D5"/>
    <w:rsid w:val="00AC3399"/>
    <w:rsid w:val="00AD35C2"/>
    <w:rsid w:val="00AD4FD9"/>
    <w:rsid w:val="00AE0C57"/>
    <w:rsid w:val="00B0693D"/>
    <w:rsid w:val="00B16129"/>
    <w:rsid w:val="00B1663A"/>
    <w:rsid w:val="00B21086"/>
    <w:rsid w:val="00B42003"/>
    <w:rsid w:val="00B42E77"/>
    <w:rsid w:val="00B57772"/>
    <w:rsid w:val="00BB0F9E"/>
    <w:rsid w:val="00BC3074"/>
    <w:rsid w:val="00BD625B"/>
    <w:rsid w:val="00BF0A0B"/>
    <w:rsid w:val="00C10B5F"/>
    <w:rsid w:val="00C53151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CF4846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D3A08"/>
    <w:rsid w:val="00DE55E3"/>
    <w:rsid w:val="00DE7E0D"/>
    <w:rsid w:val="00DF533B"/>
    <w:rsid w:val="00E26A29"/>
    <w:rsid w:val="00E3344F"/>
    <w:rsid w:val="00E430B8"/>
    <w:rsid w:val="00E55540"/>
    <w:rsid w:val="00E7471A"/>
    <w:rsid w:val="00E96046"/>
    <w:rsid w:val="00EA3FD1"/>
    <w:rsid w:val="00ED0A23"/>
    <w:rsid w:val="00ED655D"/>
    <w:rsid w:val="00EE36F1"/>
    <w:rsid w:val="00EE75CA"/>
    <w:rsid w:val="00EF2767"/>
    <w:rsid w:val="00EF5A95"/>
    <w:rsid w:val="00F02359"/>
    <w:rsid w:val="00F12ECA"/>
    <w:rsid w:val="00F131EA"/>
    <w:rsid w:val="00F203A3"/>
    <w:rsid w:val="00F42344"/>
    <w:rsid w:val="00F45AB8"/>
    <w:rsid w:val="00F521E6"/>
    <w:rsid w:val="00FA53BB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07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78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78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78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78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07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78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78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78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78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St-840/2017</izvorni_sadrzaj>
    <derivirana_varijabla naziv="DomainObject.Predmet.OznakaBroj_1">St-840/2017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ROWE I OHMANN d.o.o. za turizam i trgovinu u stečaju</izvorni_sadrzaj>
    <derivirana_varijabla naziv="DomainObject.Predmet.ProtustrankaFormated_1">  Stečajna masa iza ROWE I OHMANN d.o.o. za turizam i trgovinu u stečaju</derivirana_varijabla>
  </DomainObject.Predmet.ProtustrankaFormated>
  <DomainObject.Predmet.ProtustrankaFormatedOIB>
    <izvorni_sadrzaj>  Stečajna masa iza ROWE I OHMANN d.o.o. za turizam i trgovinu u stečaju, OIB 36990473208</izvorni_sadrzaj>
    <derivirana_varijabla naziv="DomainObject.Predmet.ProtustrankaFormatedOIB_1">  Stečajna masa iza ROWE I OHMANN d.o.o. za turizam i trgovinu u stečaju, OIB 36990473208</derivirana_varijabla>
  </DomainObject.Predmet.ProtustrankaFormatedOIB>
  <DomainObject.Predmet.ProtustrankaFormatedWithAdress>
    <izvorni_sadrzaj> Stečajna masa iza ROWE I OHMANN d.o.o. za turizam i trgovinu u stečaju, Ruđera Boškovića 7/125, 21000 Split</izvorni_sadrzaj>
    <derivirana_varijabla naziv="DomainObject.Predmet.ProtustrankaFormatedWithAdress_1"> Stečajna masa iza ROWE I OHMANN d.o.o. za turizam i trgovinu u stečaju, Ruđera Boškovića 7/125, 21000 Split</derivirana_varijabla>
  </DomainObject.Predmet.ProtustrankaFormatedWithAdress>
  <DomainObject.Predmet.ProtustrankaFormatedWithAdressOIB>
    <izvorni_sadrzaj> Stečajna masa iza ROWE I OHMANN d.o.o. za turizam i trgovinu u stečaju, OIB 36990473208, Ruđera Boškovića 7/125, 21000 Split</izvorni_sadrzaj>
    <derivirana_varijabla naziv="DomainObject.Predmet.ProtustrankaFormatedWithAdressOIB_1"> Stečajna masa iza ROWE I OHMANN d.o.o. za turizam i trgovinu u stečaju, OIB 36990473208, Ruđera Boškovića 7/125, 21000 Split</derivirana_varijabla>
  </DomainObject.Predmet.ProtustrankaFormatedWithAdressOIB>
  <DomainObject.Predmet.ProtustrankaWithAdress>
    <izvorni_sadrzaj>Stečajna masa iza ROWE I OHMANN d.o.o. za turizam i trgovinu u stečaju Ruđera Boškovića 7/125, 21000 Split</izvorni_sadrzaj>
    <derivirana_varijabla naziv="DomainObject.Predmet.ProtustrankaWithAdress_1">Stečajna masa iza ROWE I OHMANN d.o.o. za turizam i trgovinu u stečaju Ruđera Boškovića 7/125, 21000 Split</derivirana_varijabla>
  </DomainObject.Predmet.ProtustrankaWithAdress>
  <DomainObject.Predmet.ProtustrankaWithAdressOIB>
    <izvorni_sadrzaj>Stečajna masa iza ROWE I OHMANN d.o.o. za turizam i trgovinu u stečaju, OIB 36990473208, Ruđera Boškovića 7/125, 21000 Split</izvorni_sadrzaj>
    <derivirana_varijabla naziv="DomainObject.Predmet.ProtustrankaWithAdressOIB_1">Stečajna masa iza ROWE I OHMANN d.o.o. za turizam i trgovinu u stečaju, OIB 36990473208, Ruđera Boškovića 7/125, 21000 Split</derivirana_varijabla>
  </DomainObject.Predmet.ProtustrankaWithAdressOIB>
  <DomainObject.Predmet.ProtustrankaNazivFormated>
    <izvorni_sadrzaj>Stečajna masa iza ROWE I OHMANN d.o.o. za turizam i trgovinu u stečaju</izvorni_sadrzaj>
    <derivirana_varijabla naziv="DomainObject.Predmet.ProtustrankaNazivFormated_1">Stečajna masa iza ROWE I OHMANN d.o.o. za turizam i trgovinu u stečaju</derivirana_varijabla>
  </DomainObject.Predmet.ProtustrankaNazivFormated>
  <DomainObject.Predmet.ProtustrankaNazivFormatedOIB>
    <izvorni_sadrzaj>Stečajna masa iza ROWE I OHMANN d.o.o. za turizam i trgovinu u stečaju, OIB 36990473208</izvorni_sadrzaj>
    <derivirana_varijabla naziv="DomainObject.Predmet.ProtustrankaNazivFormatedOIB_1">Stečajna masa iza ROWE I OHMANN d.o.o. za turizam i trgovinu u stečaju, OIB 36990473208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ROWE I OHMANN d.o.o. za turizam i trgovinu u stečaju</item>
    </izvorni_sadrzaj>
    <derivirana_varijabla naziv="DomainObject.Predmet.ProtuStrankaListFormated_1">
      <item>Stečajna masa iza ROWE I OHMANN d.o.o. za turizam i trgovinu u stečaju</item>
    </derivirana_varijabla>
  </DomainObject.Predmet.ProtuStrankaListFormated>
  <DomainObject.Predmet.ProtuStrankaListFormatedOIB>
    <izvorni_sadrzaj>
      <item>Stečajna masa iza ROWE I OHMANN d.o.o. za turizam i trgovinu u stečaju, OIB 36990473208</item>
    </izvorni_sadrzaj>
    <derivirana_varijabla naziv="DomainObject.Predmet.ProtuStrankaListFormatedOIB_1">
      <item>Stečajna masa iza ROWE I OHMANN d.o.o. za turizam i trgovinu u stečaju, OIB 36990473208</item>
    </derivirana_varijabla>
  </DomainObject.Predmet.ProtuStrankaListFormatedOIB>
  <DomainObject.Predmet.ProtuStrankaListFormatedWithAdress>
    <izvorni_sadrzaj>
      <item>Stečajna masa iza ROWE I OHMANN d.o.o. za turizam i trgovinu u stečaju, Ruđera Boškovića 7/125, 21000 Split</item>
    </izvorni_sadrzaj>
    <derivirana_varijabla naziv="DomainObject.Predmet.ProtuStrankaListFormatedWithAdress_1">
      <item>Stečajna masa iza ROWE I OHMANN d.o.o. za turizam i trgovinu u stečaju, Ruđera Boškovića 7/125, 21000 Split</item>
    </derivirana_varijabla>
  </DomainObject.Predmet.ProtuStrankaListFormatedWithAdress>
  <DomainObject.Predmet.ProtuStrankaListFormatedWithAdressOIB>
    <izvorni_sadrzaj>
      <item>Stečajna masa iza ROWE I OHMANN d.o.o. za turizam i trgovinu u stečaju, OIB 36990473208, Ruđera Boškovića 7/125, 21000 Split</item>
    </izvorni_sadrzaj>
    <derivirana_varijabla naziv="DomainObject.Predmet.ProtuStrankaListFormatedWithAdressOIB_1">
      <item>Stečajna masa iza ROWE I OHMANN d.o.o. za turizam i trgovinu u stečaju, OIB 36990473208, Ruđera Boškovića 7/125, 21000 Split</item>
    </derivirana_varijabla>
  </DomainObject.Predmet.ProtuStrankaListFormatedWithAdressOIB>
  <DomainObject.Predmet.ProtuStrankaListNazivFormated>
    <izvorni_sadrzaj>
      <item>Stečajna masa iza ROWE I OHMANN d.o.o. za turizam i trgovinu u stečaju</item>
    </izvorni_sadrzaj>
    <derivirana_varijabla naziv="DomainObject.Predmet.ProtuStrankaListNazivFormated_1">
      <item>Stečajna masa iza ROWE I OHMANN d.o.o. za turizam i trgovinu u stečaju</item>
    </derivirana_varijabla>
  </DomainObject.Predmet.ProtuStrankaListNazivFormated>
  <DomainObject.Predmet.ProtuStrankaListNazivFormatedOIB>
    <izvorni_sadrzaj>
      <item>Stečajna masa iza ROWE I OHMANN d.o.o. za turizam i trgovinu u stečaju, OIB 36990473208</item>
    </izvorni_sadrzaj>
    <derivirana_varijabla naziv="DomainObject.Predmet.ProtuStrankaListNazivFormatedOIB_1">
      <item>Stečajna masa iza ROWE I OHMANN d.o.o. za turizam i trgovinu u stečaju, OIB 36990473208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ROWE I OHMANN d.o.o. za turizam i trgovinu u stečaju</izvorni_sadrzaj>
    <derivirana_varijabla naziv="DomainObject.Predmet.ProtustrankaIDrugi_1">Stečajna masa iza ROWE I OHMANN d.o.o. za turizam i trgovinu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ROWE I OHMANN d.o.o. za turizam i trgovinu u stečaju, OIB 36990473208, Ruđera Boškovića 7/125, 21000 Split</izvorni_sadrzaj>
    <derivirana_varijabla naziv="DomainObject.Predmet.ProtustrankaIDrugiAdressOIB_1">Stečajna masa iza ROWE I OHMANN d.o.o. za turizam i trgovinu u stečaju, OIB 36990473208, Ruđera Boškovića 7/125,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ROWE I OHMANN d.o.o. za turizam i trgovinu u stečaju</item>
      <item>FINANCIJSKA AGENCIJA, RC SPLIT</item>
    </izvorni_sadrzaj>
    <derivirana_varijabla naziv="DomainObject.Predmet.SudioniciListNaziv_1">
      <item>Stečajna masa iza ROWE I OHMANN d.o.o. za turizam i trgovinu u stečaju</item>
      <item>FINANCIJSKA AGENCIJA, RC SPLIT</item>
    </derivirana_varijabla>
  </DomainObject.Predmet.SudioniciListNaziv>
  <DomainObject.Predmet.SudioniciListAdressOIB>
    <izvorni_sadrzaj>
      <item>Stečajna masa iza ROWE I OHMANN d.o.o. za turizam i trgovinu u stečaju, OIB 36990473208, Ruđera Boškovića 7/125,21000 Split</item>
      <item>FINANCIJSKA AGENCIJA, RC SPLIT, OIB 85821130368, Mažuranićevo šetalište 24 b,21000 Split</item>
    </izvorni_sadrzaj>
    <derivirana_varijabla naziv="DomainObject.Predmet.SudioniciListAdressOIB_1">
      <item>Stečajna masa iza ROWE I OHMANN d.o.o. za turizam i trgovinu u stečaju, OIB 36990473208, Ruđera Boškovića 7/125,21000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36990473208</item>
      <item>, OIB 85821130368</item>
    </izvorni_sadrzaj>
    <derivirana_varijabla naziv="DomainObject.Predmet.SudioniciListNazivOIB_1">
      <item>, OIB 36990473208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4732F6-854F-44EA-9843-2230CF2818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442</properties:Words>
  <properties:Characters>2488</properties:Characters>
  <properties:Lines>70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2018-10-02T13:02:00Z</dcterms:created>
  <dc:creator>stanka grcic</dc:creator>
  <cp:lastModifiedBy>Katarina Franković</cp:lastModifiedBy>
  <cp:lastPrinted>2018-10-02T12:57:00Z</cp:lastPrinted>
  <dcterms:modified xmlns:xsi="http://www.w3.org/2001/XMLSchema-instance" xsi:type="dcterms:W3CDTF">2018-10-02T13:04:00Z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Zaključak (rješenje - poziv provjeriti ima li stranaca uredba EU  840 -17.docx)</vt:lpwstr>
  </prop:property>
  <prop:property name="CC_coloring" pid="5" fmtid="{D5CDD505-2E9C-101B-9397-08002B2CF9AE}">
    <vt:bool>false</vt:bool>
  </prop:property>
</prop:Properties>
</file>