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53470" w14:paraId="c953470" w:rsidRDefault="00D426BD" w:rsidP="00D426BD" w:rsidR="00D426BD">
      <w:pPr>
        <w:tabs>
          <w:tab w:pos="516" w:val="left"/>
        </w:tabs>
        <w15:collapsed w:val="false"/>
        <w:rPr>
          <w:rFonts w:cs="Times New Roman" w:hAnsi="Times New Roman" w:ascii="Times New Roman"/>
          <w:bCs/>
        </w:rPr>
      </w:pPr>
      <w:bookmarkStart w:name="_GoBack" w:id="0"/>
      <w:bookmarkEnd w:id="0"/>
      <w:r>
        <w:rPr>
          <w:noProof/>
          <w:lang w:eastAsia="hr-HR"/>
        </w:rPr>
        <w:drawing>
          <wp:anchor allowOverlap="true" layoutInCell="true" locked="false" behindDoc="true" relativeHeight="251658240"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9"/>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2" id="0">
                      <a:hlinkClick r:id="rId9"/>
                    </pic:cNvPr>
                    <pic:cNvPicPr>
                      <a:picLocks noChangeArrowheads="true" noChangeAspect="true"/>
                    </pic:cNvPicPr>
                  </pic:nvPicPr>
                  <pic:blipFill>
                    <a:blip r:link="rId11"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Pr>
          <w:rFonts w:cs="Times New Roman" w:hAnsi="Times New Roman" w:ascii="Times New Roman"/>
          <w:bCs/>
        </w:rPr>
        <w:tab/>
      </w:r>
    </w:p>
    <w:p w:rsidRDefault="00D426BD" w:rsidP="00D426BD" w:rsidR="00D426BD">
      <w:pPr>
        <w:rPr>
          <w:rFonts w:cs="Times New Roman" w:hAnsi="Times New Roman" w:ascii="Times New Roman"/>
        </w:rPr>
      </w:pPr>
    </w:p>
    <w:p w:rsidRDefault="00D426BD" w:rsidP="00D426BD" w:rsidR="00D426BD">
      <w:pPr>
        <w:ind w:firstLine="720"/>
        <w:rPr>
          <w:rFonts w:cs="Times New Roman" w:hAnsi="Times New Roman" w:ascii="Times New Roman"/>
          <w:b/>
        </w:rPr>
      </w:pPr>
    </w:p>
    <w:p w:rsidRDefault="00D426BD" w:rsidP="00D426BD" w:rsidR="00D426BD">
      <w:pPr>
        <w:ind w:firstLine="720"/>
        <w:rPr>
          <w:rFonts w:cs="Times New Roman" w:hAnsi="Times New Roman" w:ascii="Times New Roman"/>
          <w:b/>
        </w:rPr>
      </w:pPr>
    </w:p>
    <w:p w:rsidRDefault="00D426BD" w:rsidP="00D426BD" w:rsidR="00D426BD">
      <w:pPr>
        <w:rPr>
          <w:rFonts w:cs="Times New Roman" w:hAnsi="Times New Roman" w:ascii="Times New Roman"/>
          <w:b/>
        </w:rPr>
      </w:pPr>
      <w:r>
        <w:rPr>
          <w:rFonts w:cs="Times New Roman" w:hAnsi="Times New Roman" w:ascii="Times New Roman"/>
          <w:b/>
        </w:rPr>
        <w:t xml:space="preserve">       REPUBLIKA HRVATSKA</w:t>
      </w:r>
    </w:p>
    <w:p w:rsidRDefault="00D426BD" w:rsidP="00D426BD" w:rsidR="00D426BD">
      <w:pPr>
        <w:rPr>
          <w:rFonts w:cs="Times New Roman" w:hAnsi="Times New Roman" w:ascii="Times New Roman"/>
          <w:b/>
        </w:rPr>
      </w:pPr>
      <w:r>
        <w:rPr>
          <w:rFonts w:cs="Times New Roman" w:hAnsi="Times New Roman" w:ascii="Times New Roman"/>
        </w:rPr>
        <w:t>TRGOVAČKI SUD U VARAŽDINU</w:t>
      </w:r>
    </w:p>
    <w:p w:rsidRDefault="00D426BD" w:rsidP="00D426BD" w:rsidR="00D426BD">
      <w:pPr>
        <w:rPr>
          <w:rFonts w:cs="Times New Roman" w:hAnsi="Times New Roman" w:ascii="Times New Roman"/>
        </w:rPr>
      </w:pPr>
      <w:r>
        <w:rPr>
          <w:rFonts w:cs="Times New Roman" w:hAnsi="Times New Roman" w:ascii="Times New Roman"/>
        </w:rPr>
        <w:t xml:space="preserve">                 Braće Radića 2</w:t>
      </w:r>
    </w:p>
    <w:p w:rsidRDefault="00D426BD" w:rsidP="00D426BD" w:rsidR="00D426BD">
      <w:pPr>
        <w:jc w:val="both"/>
        <w:rPr>
          <w:rFonts w:cs="Times New Roman" w:hAnsi="Times New Roman" w:ascii="Times New Roman"/>
          <w:szCs w:val="24"/>
        </w:rPr>
      </w:pPr>
    </w:p>
    <w:p w:rsidRDefault="00D426BD" w:rsidP="00D426BD" w:rsidR="00D426BD">
      <w:pPr>
        <w:jc w:val="both"/>
        <w:rPr>
          <w:rFonts w:cs="Times New Roman" w:hAnsi="Times New Roman" w:ascii="Times New Roman"/>
          <w:szCs w:val="24"/>
        </w:rPr>
      </w:pPr>
    </w:p>
    <w:p w:rsidRDefault="00D426BD" w:rsidP="00D426BD" w:rsidR="00D426BD">
      <w:pPr>
        <w:jc w:val="center"/>
        <w:rPr>
          <w:rFonts w:cs="Times New Roman" w:hAnsi="Times New Roman" w:ascii="Times New Roman"/>
          <w:szCs w:val="24"/>
        </w:rPr>
      </w:pPr>
      <w:r>
        <w:rPr>
          <w:rFonts w:cs="Times New Roman" w:hAnsi="Times New Roman" w:ascii="Times New Roman"/>
          <w:szCs w:val="24"/>
        </w:rPr>
        <w:t>R E P U B L I K A    H R V A T S K A</w:t>
      </w:r>
    </w:p>
    <w:p w:rsidRDefault="00D426BD" w:rsidP="00D426BD" w:rsidR="00D426BD">
      <w:pPr>
        <w:jc w:val="both"/>
        <w:rPr>
          <w:rFonts w:cs="Times New Roman" w:hAnsi="Times New Roman" w:ascii="Times New Roman"/>
          <w:szCs w:val="24"/>
        </w:rPr>
      </w:pPr>
    </w:p>
    <w:p w:rsidRDefault="00D426BD" w:rsidP="00D426BD" w:rsidR="00D426BD">
      <w:pPr>
        <w:pStyle w:val="Naslov2"/>
        <w:rPr>
          <w:b w:val="false"/>
          <w:szCs w:val="24"/>
        </w:rPr>
      </w:pPr>
      <w:r>
        <w:rPr>
          <w:b w:val="false"/>
          <w:szCs w:val="24"/>
        </w:rPr>
        <w:t>R J E Š E NJ E</w:t>
      </w:r>
    </w:p>
    <w:p w:rsidRDefault="00D426BD" w:rsidP="00D426BD" w:rsidR="00D426BD">
      <w:pPr>
        <w:jc w:val="both"/>
        <w:rPr>
          <w:rFonts w:cs="Times New Roman" w:hAnsi="Times New Roman" w:ascii="Times New Roman"/>
          <w:szCs w:val="24"/>
        </w:rPr>
      </w:pPr>
    </w:p>
    <w:p w:rsidRDefault="00D426BD" w:rsidP="00D426BD" w:rsidR="00D426BD">
      <w:pPr>
        <w:ind w:firstLine="708"/>
        <w:jc w:val="both"/>
        <w:rPr>
          <w:rFonts w:cs="Times New Roman" w:hAnsi="Times New Roman" w:ascii="Times New Roman"/>
          <w:szCs w:val="24"/>
        </w:rPr>
      </w:pPr>
      <w:r>
        <w:rPr>
          <w:rFonts w:cs="Times New Roman" w:hAnsi="Times New Roman" w:ascii="Times New Roman"/>
          <w:szCs w:val="24"/>
        </w:rPr>
        <w:t>Trgovački sud u Varaždinu, po sucu toga suda Iris Hatvalić Nemec, u stečajnom postupku nad stečajnom masom iza VICTORIA d.o.o. u stečaju, Ivanec, Jezerski put 26, OIB: 49567088170,  zastupanom po stečajnom upravitelju Ivanu Hudoletnjaku iz Ivanca, Jezerski put 26, OIB 80924395653, nakon održanog ispitnog i izvještajnog ročišta 15. rujna 2017. te izrađene posebne tablice ispitanih tražbina, 15. rujna 2017.,</w:t>
      </w:r>
    </w:p>
    <w:p w:rsidRDefault="00D426BD" w:rsidP="00D426BD" w:rsidR="00D426BD">
      <w:pPr>
        <w:ind w:right="567"/>
        <w:jc w:val="both"/>
        <w:rPr>
          <w:rFonts w:cs="Times New Roman" w:hAnsi="Times New Roman" w:ascii="Times New Roman"/>
          <w:szCs w:val="24"/>
        </w:rPr>
      </w:pPr>
    </w:p>
    <w:p w:rsidRDefault="00D426BD" w:rsidP="00D426BD" w:rsidR="00D426BD">
      <w:pPr>
        <w:ind w:right="567" w:left="737"/>
        <w:jc w:val="center"/>
        <w:rPr>
          <w:rFonts w:cs="Times New Roman" w:hAnsi="Times New Roman" w:ascii="Times New Roman"/>
          <w:szCs w:val="24"/>
        </w:rPr>
      </w:pPr>
      <w:r>
        <w:rPr>
          <w:rFonts w:cs="Times New Roman" w:hAnsi="Times New Roman" w:ascii="Times New Roman"/>
          <w:szCs w:val="24"/>
        </w:rPr>
        <w:t>r i j e š i o    j e</w:t>
      </w:r>
    </w:p>
    <w:p w:rsidRDefault="00D426BD" w:rsidP="00D426BD" w:rsidR="00D426BD">
      <w:pPr>
        <w:ind w:right="1252"/>
        <w:jc w:val="both"/>
        <w:rPr>
          <w:rFonts w:cs="Times New Roman" w:hAnsi="Times New Roman" w:ascii="Times New Roman"/>
          <w:szCs w:val="24"/>
        </w:rPr>
      </w:pPr>
    </w:p>
    <w:p w:rsidRDefault="00D426BD" w:rsidP="00D426BD" w:rsidR="00D426BD">
      <w:pPr>
        <w:ind w:firstLine="705" w:right="567"/>
        <w:jc w:val="both"/>
        <w:rPr>
          <w:rFonts w:cs="Times New Roman" w:hAnsi="Times New Roman" w:ascii="Times New Roman"/>
          <w:b/>
          <w:szCs w:val="24"/>
        </w:rPr>
      </w:pPr>
      <w:r>
        <w:rPr>
          <w:rFonts w:cs="Times New Roman" w:hAnsi="Times New Roman" w:ascii="Times New Roman"/>
          <w:b/>
          <w:szCs w:val="24"/>
        </w:rPr>
        <w:t>Utvrđene tražbine viših isplatnih redova u kunama:</w:t>
      </w:r>
    </w:p>
    <w:p w:rsidRDefault="00D426BD" w:rsidP="00D426BD" w:rsidR="00D426BD">
      <w:pPr>
        <w:ind w:right="567"/>
        <w:jc w:val="both"/>
        <w:rPr>
          <w:rFonts w:cs="Times New Roman" w:hAnsi="Times New Roman" w:ascii="Times New Roman"/>
          <w:szCs w:val="24"/>
          <w:u w:val="single"/>
        </w:rPr>
      </w:pPr>
    </w:p>
    <w:p w:rsidRDefault="00D426BD" w:rsidP="00D426BD" w:rsidR="00D426BD">
      <w:pPr>
        <w:ind w:right="567" w:left="705"/>
        <w:rPr>
          <w:rFonts w:cs="Times New Roman" w:hAnsi="Times New Roman" w:ascii="Times New Roman"/>
          <w:szCs w:val="24"/>
        </w:rPr>
      </w:pPr>
      <w:r>
        <w:rPr>
          <w:rFonts w:cs="Times New Roman" w:hAnsi="Times New Roman" w:ascii="Times New Roman"/>
          <w:szCs w:val="24"/>
          <w:u w:val="single"/>
        </w:rPr>
        <w:t>Drugi viši isplatni red</w:t>
      </w:r>
    </w:p>
    <w:p w:rsidRDefault="00D426BD" w:rsidP="00D426BD" w:rsidR="00D426BD">
      <w:pPr>
        <w:ind w:left="705"/>
        <w:jc w:val="both"/>
        <w:rPr>
          <w:rFonts w:cs="Times New Roman" w:hAnsi="Times New Roman" w:ascii="Times New Roman"/>
          <w:szCs w:val="24"/>
          <w:lang w:eastAsia="hr-HR"/>
        </w:rPr>
      </w:pPr>
      <w:r>
        <w:rPr>
          <w:rFonts w:cs="Times New Roman" w:hAnsi="Times New Roman" w:ascii="Times New Roman"/>
          <w:szCs w:val="24"/>
          <w:lang w:eastAsia="hr-HR"/>
        </w:rPr>
        <w:tab/>
      </w:r>
    </w:p>
    <w:tbl>
      <w:tblPr>
        <w:tblW w:type="dxa" w:w="11205"/>
        <w:tblInd w:type="dxa" w:w="-821"/>
        <w:tblLayout w:type="fixed"/>
        <w:tblCellMar>
          <w:left w:type="dxa" w:w="30"/>
          <w:right w:type="dxa" w:w="30"/>
        </w:tblCellMar>
        <w:tblLook w:val="04A0" w:noVBand="1" w:noHBand="0" w:lastColumn="0" w:firstColumn="1" w:lastRow="0" w:firstRow="1"/>
      </w:tblPr>
      <w:tblGrid>
        <w:gridCol w:w="368"/>
        <w:gridCol w:w="1334"/>
        <w:gridCol w:w="993"/>
        <w:gridCol w:w="1135"/>
        <w:gridCol w:w="850"/>
        <w:gridCol w:w="994"/>
        <w:gridCol w:w="708"/>
        <w:gridCol w:w="994"/>
        <w:gridCol w:w="850"/>
        <w:gridCol w:w="851"/>
        <w:gridCol w:w="1135"/>
        <w:gridCol w:w="993"/>
      </w:tblGrid>
      <w:tr w:rsidTr="00D426BD" w:rsidR="00D426BD">
        <w:trPr>
          <w:trHeight w:val="254"/>
        </w:trPr>
        <w:tc>
          <w:tcPr>
            <w:tcW w:type="dxa" w:w="369"/>
            <w:tcBorders>
              <w:top w:space="0" w:sz="6" w:color="000000" w:val="double"/>
              <w:left w:space="0" w:sz="6" w:color="000000" w:val="double"/>
              <w:bottom w:val="nil"/>
              <w:right w:space="0" w:sz="6" w:color="000000" w:val="double"/>
            </w:tcBorders>
            <w:hideMark/>
          </w:tcPr>
          <w:p w:rsidRDefault="00D426BD" w:rsidR="00D426BD">
            <w:pPr>
              <w:autoSpaceDE w:val="false"/>
              <w:autoSpaceDN w:val="false"/>
              <w:adjustRightInd w:val="false"/>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Red</w:t>
            </w:r>
          </w:p>
        </w:tc>
        <w:tc>
          <w:tcPr>
            <w:tcW w:type="dxa" w:w="1333"/>
            <w:tcBorders>
              <w:top w:space="0" w:sz="6" w:color="000000" w:val="double"/>
              <w:left w:space="0" w:sz="6" w:color="000000" w:val="double"/>
              <w:bottom w:val="nil"/>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Naziv</w:t>
            </w:r>
          </w:p>
        </w:tc>
        <w:tc>
          <w:tcPr>
            <w:tcW w:type="dxa" w:w="992"/>
            <w:tcBorders>
              <w:top w:space="0" w:sz="6" w:color="000000" w:val="double"/>
              <w:left w:space="0" w:sz="6" w:color="000000" w:val="double"/>
              <w:bottom w:val="nil"/>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OIB</w:t>
            </w:r>
          </w:p>
        </w:tc>
        <w:tc>
          <w:tcPr>
            <w:tcW w:type="dxa" w:w="1134"/>
            <w:tcBorders>
              <w:top w:space="0" w:sz="6" w:color="000000" w:val="double"/>
              <w:left w:space="0" w:sz="6" w:color="000000" w:val="double"/>
              <w:bottom w:val="nil"/>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Adresa</w:t>
            </w:r>
          </w:p>
        </w:tc>
        <w:tc>
          <w:tcPr>
            <w:tcW w:type="dxa" w:w="850"/>
            <w:tcBorders>
              <w:top w:space="0" w:sz="6" w:color="000000" w:val="double"/>
              <w:left w:space="0" w:sz="6" w:color="000000" w:val="double"/>
              <w:bottom w:val="nil"/>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Iznos prijavljene</w:t>
            </w:r>
          </w:p>
        </w:tc>
        <w:tc>
          <w:tcPr>
            <w:tcW w:type="dxa" w:w="993"/>
            <w:tcBorders>
              <w:top w:space="0" w:sz="6" w:color="000000" w:val="double"/>
              <w:left w:space="0" w:sz="6" w:color="000000" w:val="double"/>
              <w:bottom w:val="nil"/>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Pravna osnova</w:t>
            </w:r>
          </w:p>
        </w:tc>
        <w:tc>
          <w:tcPr>
            <w:tcW w:type="dxa" w:w="708"/>
            <w:tcBorders>
              <w:top w:space="0" w:sz="6" w:color="000000" w:val="double"/>
              <w:left w:space="0" w:sz="6" w:color="000000" w:val="double"/>
              <w:bottom w:val="nil"/>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Iznos priznate</w:t>
            </w:r>
          </w:p>
        </w:tc>
        <w:tc>
          <w:tcPr>
            <w:tcW w:type="dxa" w:w="993"/>
            <w:tcBorders>
              <w:top w:space="0" w:sz="6" w:color="000000" w:val="double"/>
              <w:left w:space="0" w:sz="6" w:color="000000" w:val="double"/>
              <w:bottom w:val="nil"/>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Pravna osnova</w:t>
            </w:r>
          </w:p>
        </w:tc>
        <w:tc>
          <w:tcPr>
            <w:tcW w:type="dxa" w:w="850"/>
            <w:tcBorders>
              <w:top w:space="0" w:sz="6" w:color="000000" w:val="double"/>
              <w:left w:space="0" w:sz="6" w:color="000000" w:val="double"/>
              <w:bottom w:val="nil"/>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Iznos osporene</w:t>
            </w:r>
          </w:p>
        </w:tc>
        <w:tc>
          <w:tcPr>
            <w:tcW w:type="dxa" w:w="851"/>
            <w:tcBorders>
              <w:top w:space="0" w:sz="6" w:color="000000" w:val="double"/>
              <w:left w:space="0" w:sz="6" w:color="000000" w:val="double"/>
              <w:bottom w:val="nil"/>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 xml:space="preserve">Razlog </w:t>
            </w:r>
          </w:p>
        </w:tc>
        <w:tc>
          <w:tcPr>
            <w:tcW w:type="dxa" w:w="1134"/>
            <w:tcBorders>
              <w:top w:space="0" w:sz="6" w:color="000000" w:val="double"/>
              <w:left w:space="0" w:sz="6" w:color="000000" w:val="double"/>
              <w:bottom w:val="nil"/>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 xml:space="preserve">Oznaka </w:t>
            </w:r>
          </w:p>
        </w:tc>
        <w:tc>
          <w:tcPr>
            <w:tcW w:type="dxa" w:w="992"/>
            <w:tcBorders>
              <w:top w:space="0" w:sz="6" w:color="000000" w:val="double"/>
              <w:left w:space="0" w:sz="6" w:color="000000" w:val="double"/>
              <w:bottom w:val="nil"/>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 učešća</w:t>
            </w:r>
          </w:p>
        </w:tc>
      </w:tr>
      <w:tr w:rsidTr="00D426BD" w:rsidR="00D426BD">
        <w:trPr>
          <w:trHeight w:val="254"/>
        </w:trPr>
        <w:tc>
          <w:tcPr>
            <w:tcW w:type="dxa" w:w="369"/>
            <w:tcBorders>
              <w:top w:val="nil"/>
              <w:left w:space="0" w:sz="6" w:color="000000" w:val="double"/>
              <w:bottom w:val="nil"/>
              <w:right w:space="0" w:sz="6" w:color="000000" w:val="double"/>
            </w:tcBorders>
            <w:hideMark/>
          </w:tcPr>
          <w:p w:rsidRDefault="00D426BD" w:rsidR="00D426BD">
            <w:pPr>
              <w:autoSpaceDE w:val="false"/>
              <w:autoSpaceDN w:val="false"/>
              <w:adjustRightInd w:val="false"/>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broj</w:t>
            </w:r>
          </w:p>
        </w:tc>
        <w:tc>
          <w:tcPr>
            <w:tcW w:type="dxa" w:w="1333"/>
            <w:tcBorders>
              <w:top w:val="nil"/>
              <w:left w:space="0" w:sz="6" w:color="000000" w:val="double"/>
              <w:bottom w:val="nil"/>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vjerovnika</w:t>
            </w:r>
          </w:p>
        </w:tc>
        <w:tc>
          <w:tcPr>
            <w:tcW w:type="dxa" w:w="992"/>
            <w:tcBorders>
              <w:top w:val="nil"/>
              <w:left w:space="0" w:sz="6" w:color="000000" w:val="double"/>
              <w:bottom w:val="nil"/>
              <w:right w:space="0" w:sz="6" w:color="000000" w:val="double"/>
            </w:tcBorders>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p>
        </w:tc>
        <w:tc>
          <w:tcPr>
            <w:tcW w:type="dxa" w:w="1134"/>
            <w:tcBorders>
              <w:top w:val="nil"/>
              <w:left w:space="0" w:sz="6" w:color="000000" w:val="double"/>
              <w:bottom w:val="nil"/>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vjerovnika</w:t>
            </w:r>
          </w:p>
        </w:tc>
        <w:tc>
          <w:tcPr>
            <w:tcW w:type="dxa" w:w="850"/>
            <w:tcBorders>
              <w:top w:val="nil"/>
              <w:left w:space="0" w:sz="6" w:color="000000" w:val="double"/>
              <w:bottom w:val="nil"/>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 xml:space="preserve"> tražbine</w:t>
            </w:r>
          </w:p>
        </w:tc>
        <w:tc>
          <w:tcPr>
            <w:tcW w:type="dxa" w:w="993"/>
            <w:tcBorders>
              <w:top w:val="nil"/>
              <w:left w:space="0" w:sz="6" w:color="000000" w:val="double"/>
              <w:bottom w:val="nil"/>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prijavljane tražbine</w:t>
            </w:r>
          </w:p>
        </w:tc>
        <w:tc>
          <w:tcPr>
            <w:tcW w:type="dxa" w:w="708"/>
            <w:tcBorders>
              <w:top w:val="nil"/>
              <w:left w:space="0" w:sz="6" w:color="000000" w:val="double"/>
              <w:bottom w:val="nil"/>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tražbine</w:t>
            </w:r>
          </w:p>
        </w:tc>
        <w:tc>
          <w:tcPr>
            <w:tcW w:type="dxa" w:w="993"/>
            <w:tcBorders>
              <w:top w:val="nil"/>
              <w:left w:space="0" w:sz="6" w:color="000000" w:val="double"/>
              <w:bottom w:val="nil"/>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priznate</w:t>
            </w:r>
          </w:p>
        </w:tc>
        <w:tc>
          <w:tcPr>
            <w:tcW w:type="dxa" w:w="850"/>
            <w:tcBorders>
              <w:top w:val="nil"/>
              <w:left w:space="0" w:sz="6" w:color="000000" w:val="double"/>
              <w:bottom w:val="nil"/>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tražbine</w:t>
            </w:r>
          </w:p>
        </w:tc>
        <w:tc>
          <w:tcPr>
            <w:tcW w:type="dxa" w:w="851"/>
            <w:tcBorders>
              <w:top w:val="nil"/>
              <w:left w:space="0" w:sz="6" w:color="000000" w:val="double"/>
              <w:bottom w:val="nil"/>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osporavanja</w:t>
            </w:r>
          </w:p>
        </w:tc>
        <w:tc>
          <w:tcPr>
            <w:tcW w:type="dxa" w:w="1134"/>
            <w:tcBorders>
              <w:top w:val="nil"/>
              <w:left w:space="0" w:sz="6" w:color="000000" w:val="double"/>
              <w:bottom w:val="nil"/>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 xml:space="preserve">ovršne </w:t>
            </w:r>
          </w:p>
        </w:tc>
        <w:tc>
          <w:tcPr>
            <w:tcW w:type="dxa" w:w="992"/>
            <w:tcBorders>
              <w:top w:val="nil"/>
              <w:left w:space="0" w:sz="6" w:color="000000" w:val="double"/>
              <w:bottom w:val="nil"/>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II.</w:t>
            </w:r>
          </w:p>
        </w:tc>
      </w:tr>
      <w:tr w:rsidTr="00D426BD" w:rsidR="00D426BD">
        <w:trPr>
          <w:trHeight w:val="266"/>
        </w:trPr>
        <w:tc>
          <w:tcPr>
            <w:tcW w:type="dxa" w:w="369"/>
            <w:tcBorders>
              <w:top w:val="nil"/>
              <w:left w:space="0" w:sz="6" w:color="000000" w:val="double"/>
              <w:bottom w:space="0" w:sz="6" w:color="000000" w:val="double"/>
              <w:right w:space="0" w:sz="6" w:color="000000" w:val="double"/>
            </w:tcBorders>
          </w:tcPr>
          <w:p w:rsidRDefault="00D426BD" w:rsidR="00D426BD">
            <w:pPr>
              <w:autoSpaceDE w:val="false"/>
              <w:autoSpaceDN w:val="false"/>
              <w:adjustRightInd w:val="false"/>
              <w:spacing w:lineRule="auto" w:line="276"/>
              <w:jc w:val="center"/>
              <w:rPr>
                <w:rFonts w:cs="Times New Roman" w:hAnsi="Times New Roman" w:ascii="Times New Roman"/>
                <w:i/>
                <w:iCs/>
                <w:color w:val="000000"/>
                <w:sz w:val="16"/>
                <w:szCs w:val="16"/>
              </w:rPr>
            </w:pPr>
          </w:p>
        </w:tc>
        <w:tc>
          <w:tcPr>
            <w:tcW w:type="dxa" w:w="1333"/>
            <w:tcBorders>
              <w:top w:val="nil"/>
              <w:left w:space="0" w:sz="6" w:color="000000" w:val="double"/>
              <w:bottom w:space="0" w:sz="6" w:color="000000" w:val="double"/>
              <w:right w:space="0" w:sz="6" w:color="000000" w:val="double"/>
            </w:tcBorders>
          </w:tcPr>
          <w:p w:rsidRDefault="00D426BD" w:rsidR="00D426BD">
            <w:pPr>
              <w:autoSpaceDE w:val="false"/>
              <w:autoSpaceDN w:val="false"/>
              <w:adjustRightInd w:val="false"/>
              <w:spacing w:lineRule="auto" w:line="276"/>
              <w:jc w:val="center"/>
              <w:rPr>
                <w:rFonts w:cs="Times New Roman" w:hAnsi="Times New Roman" w:ascii="Times New Roman"/>
                <w:i/>
                <w:iCs/>
                <w:color w:val="000000"/>
                <w:sz w:val="16"/>
                <w:szCs w:val="16"/>
              </w:rPr>
            </w:pPr>
          </w:p>
        </w:tc>
        <w:tc>
          <w:tcPr>
            <w:tcW w:type="dxa" w:w="992"/>
            <w:tcBorders>
              <w:top w:val="nil"/>
              <w:left w:space="0" w:sz="6" w:color="000000" w:val="double"/>
              <w:bottom w:space="0" w:sz="6" w:color="000000" w:val="double"/>
              <w:right w:space="0" w:sz="6" w:color="000000" w:val="double"/>
            </w:tcBorders>
          </w:tcPr>
          <w:p w:rsidRDefault="00D426BD" w:rsidR="00D426BD">
            <w:pPr>
              <w:autoSpaceDE w:val="false"/>
              <w:autoSpaceDN w:val="false"/>
              <w:adjustRightInd w:val="false"/>
              <w:spacing w:lineRule="auto" w:line="276"/>
              <w:jc w:val="center"/>
              <w:rPr>
                <w:rFonts w:cs="Times New Roman" w:hAnsi="Times New Roman" w:ascii="Times New Roman"/>
                <w:i/>
                <w:iCs/>
                <w:color w:val="000000"/>
                <w:sz w:val="16"/>
                <w:szCs w:val="16"/>
              </w:rPr>
            </w:pPr>
          </w:p>
        </w:tc>
        <w:tc>
          <w:tcPr>
            <w:tcW w:type="dxa" w:w="1134"/>
            <w:tcBorders>
              <w:top w:val="nil"/>
              <w:left w:space="0" w:sz="6" w:color="000000" w:val="double"/>
              <w:bottom w:space="0" w:sz="6" w:color="000000" w:val="double"/>
              <w:right w:space="0" w:sz="6" w:color="000000" w:val="double"/>
            </w:tcBorders>
          </w:tcPr>
          <w:p w:rsidRDefault="00D426BD" w:rsidR="00D426BD">
            <w:pPr>
              <w:autoSpaceDE w:val="false"/>
              <w:autoSpaceDN w:val="false"/>
              <w:adjustRightInd w:val="false"/>
              <w:spacing w:lineRule="auto" w:line="276"/>
              <w:jc w:val="center"/>
              <w:rPr>
                <w:rFonts w:cs="Times New Roman" w:hAnsi="Times New Roman" w:ascii="Times New Roman"/>
                <w:i/>
                <w:iCs/>
                <w:color w:val="000000"/>
                <w:sz w:val="16"/>
                <w:szCs w:val="16"/>
              </w:rPr>
            </w:pPr>
          </w:p>
        </w:tc>
        <w:tc>
          <w:tcPr>
            <w:tcW w:type="dxa" w:w="850"/>
            <w:tcBorders>
              <w:top w:val="nil"/>
              <w:left w:space="0" w:sz="6" w:color="000000" w:val="double"/>
              <w:bottom w:space="0" w:sz="6" w:color="000000" w:val="double"/>
              <w:right w:space="0" w:sz="6" w:color="000000" w:val="double"/>
            </w:tcBorders>
          </w:tcPr>
          <w:p w:rsidRDefault="00D426BD" w:rsidR="00D426BD">
            <w:pPr>
              <w:autoSpaceDE w:val="false"/>
              <w:autoSpaceDN w:val="false"/>
              <w:adjustRightInd w:val="false"/>
              <w:spacing w:lineRule="auto" w:line="276"/>
              <w:jc w:val="center"/>
              <w:rPr>
                <w:rFonts w:cs="Times New Roman" w:hAnsi="Times New Roman" w:ascii="Times New Roman"/>
                <w:i/>
                <w:iCs/>
                <w:color w:val="000000"/>
                <w:sz w:val="16"/>
                <w:szCs w:val="16"/>
              </w:rPr>
            </w:pPr>
          </w:p>
        </w:tc>
        <w:tc>
          <w:tcPr>
            <w:tcW w:type="dxa" w:w="993"/>
            <w:tcBorders>
              <w:top w:val="nil"/>
              <w:left w:space="0" w:sz="6" w:color="000000" w:val="double"/>
              <w:bottom w:space="0" w:sz="6" w:color="000000" w:val="double"/>
              <w:right w:space="0" w:sz="6" w:color="000000" w:val="double"/>
            </w:tcBorders>
          </w:tcPr>
          <w:p w:rsidRDefault="00D426BD" w:rsidR="00D426BD">
            <w:pPr>
              <w:autoSpaceDE w:val="false"/>
              <w:autoSpaceDN w:val="false"/>
              <w:adjustRightInd w:val="false"/>
              <w:spacing w:lineRule="auto" w:line="276"/>
              <w:jc w:val="center"/>
              <w:rPr>
                <w:rFonts w:cs="Times New Roman" w:hAnsi="Times New Roman" w:ascii="Times New Roman"/>
                <w:i/>
                <w:iCs/>
                <w:color w:val="000000"/>
                <w:sz w:val="16"/>
                <w:szCs w:val="16"/>
              </w:rPr>
            </w:pPr>
          </w:p>
        </w:tc>
        <w:tc>
          <w:tcPr>
            <w:tcW w:type="dxa" w:w="708"/>
            <w:tcBorders>
              <w:top w:val="nil"/>
              <w:left w:space="0" w:sz="6" w:color="000000" w:val="double"/>
              <w:bottom w:space="0" w:sz="6" w:color="000000" w:val="double"/>
              <w:right w:space="0" w:sz="6" w:color="000000" w:val="double"/>
            </w:tcBorders>
          </w:tcPr>
          <w:p w:rsidRDefault="00D426BD" w:rsidR="00D426BD">
            <w:pPr>
              <w:autoSpaceDE w:val="false"/>
              <w:autoSpaceDN w:val="false"/>
              <w:adjustRightInd w:val="false"/>
              <w:spacing w:lineRule="auto" w:line="276"/>
              <w:jc w:val="center"/>
              <w:rPr>
                <w:rFonts w:cs="Times New Roman" w:hAnsi="Times New Roman" w:ascii="Times New Roman"/>
                <w:i/>
                <w:iCs/>
                <w:color w:val="000000"/>
                <w:sz w:val="16"/>
                <w:szCs w:val="16"/>
              </w:rPr>
            </w:pPr>
          </w:p>
        </w:tc>
        <w:tc>
          <w:tcPr>
            <w:tcW w:type="dxa" w:w="993"/>
            <w:tcBorders>
              <w:top w:val="nil"/>
              <w:left w:space="0" w:sz="6" w:color="000000" w:val="double"/>
              <w:bottom w:space="0" w:sz="6" w:color="000000" w:val="double"/>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tražbine</w:t>
            </w:r>
          </w:p>
        </w:tc>
        <w:tc>
          <w:tcPr>
            <w:tcW w:type="dxa" w:w="850"/>
            <w:tcBorders>
              <w:top w:val="nil"/>
              <w:left w:space="0" w:sz="6" w:color="000000" w:val="double"/>
              <w:bottom w:space="0" w:sz="6" w:color="000000" w:val="double"/>
              <w:right w:space="0" w:sz="6" w:color="000000" w:val="double"/>
            </w:tcBorders>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p>
        </w:tc>
        <w:tc>
          <w:tcPr>
            <w:tcW w:type="dxa" w:w="851"/>
            <w:tcBorders>
              <w:top w:val="nil"/>
              <w:left w:space="0" w:sz="6" w:color="000000" w:val="double"/>
              <w:bottom w:space="0" w:sz="6" w:color="000000" w:val="double"/>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2"/>
                <w:szCs w:val="12"/>
              </w:rPr>
            </w:pPr>
            <w:r>
              <w:rPr>
                <w:rFonts w:cs="Times New Roman" w:hAnsi="Times New Roman" w:ascii="Times New Roman"/>
                <w:color w:val="000000"/>
                <w:sz w:val="12"/>
                <w:szCs w:val="12"/>
              </w:rPr>
              <w:t>(Napomena)</w:t>
            </w:r>
          </w:p>
        </w:tc>
        <w:tc>
          <w:tcPr>
            <w:tcW w:type="dxa" w:w="1134"/>
            <w:tcBorders>
              <w:top w:val="nil"/>
              <w:left w:space="0" w:sz="6" w:color="000000" w:val="double"/>
              <w:bottom w:space="0" w:sz="6" w:color="000000" w:val="double"/>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isprave</w:t>
            </w:r>
          </w:p>
        </w:tc>
        <w:tc>
          <w:tcPr>
            <w:tcW w:type="dxa" w:w="992"/>
            <w:tcBorders>
              <w:top w:val="nil"/>
              <w:left w:space="0" w:sz="6" w:color="000000" w:val="double"/>
              <w:bottom w:space="0" w:sz="6" w:color="000000" w:val="double"/>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ispl. red</w:t>
            </w:r>
          </w:p>
        </w:tc>
      </w:tr>
      <w:tr w:rsidTr="00D426BD" w:rsidR="00D426BD">
        <w:trPr>
          <w:trHeight w:val="672"/>
        </w:trPr>
        <w:tc>
          <w:tcPr>
            <w:tcW w:type="dxa" w:w="369"/>
            <w:tcBorders>
              <w:top w:space="0" w:sz="6" w:color="000000" w:val="double"/>
              <w:left w:space="0" w:sz="6" w:color="000000" w:val="double"/>
              <w:bottom w:space="0" w:sz="6" w:color="000000" w:val="double"/>
              <w:right w:space="0" w:sz="6" w:color="000000" w:val="double"/>
            </w:tcBorders>
            <w:hideMark/>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1.</w:t>
            </w:r>
          </w:p>
        </w:tc>
        <w:tc>
          <w:tcPr>
            <w:tcW w:type="dxa" w:w="1333"/>
            <w:tcBorders>
              <w:top w:space="0" w:sz="6" w:color="000000" w:val="double"/>
              <w:left w:space="0" w:sz="6" w:color="000000" w:val="double"/>
              <w:bottom w:space="0" w:sz="6" w:color="000000" w:val="double"/>
              <w:right w:space="0" w:sz="6" w:color="000000" w:val="double"/>
            </w:tcBorders>
            <w:hideMark/>
          </w:tcPr>
          <w:p w:rsidRDefault="00D426BD" w:rsidR="00D426BD">
            <w:pPr>
              <w:autoSpaceDE w:val="false"/>
              <w:autoSpaceDN w:val="false"/>
              <w:adjustRightInd w:val="false"/>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 xml:space="preserve">RH,MF,Porezna uprava,PU sjeverna Hrvatska zastupano po ŽDO u Varaždinu                              </w:t>
            </w:r>
          </w:p>
        </w:tc>
        <w:tc>
          <w:tcPr>
            <w:tcW w:type="dxa" w:w="992"/>
            <w:tcBorders>
              <w:top w:space="0" w:sz="6" w:color="000000" w:val="double"/>
              <w:left w:space="0" w:sz="6" w:color="000000" w:val="double"/>
              <w:bottom w:space="0" w:sz="6" w:color="000000" w:val="double"/>
              <w:right w:space="0" w:sz="6" w:color="000000" w:val="double"/>
            </w:tcBorders>
            <w:hideMark/>
          </w:tcPr>
          <w:p w:rsidRDefault="00D426BD" w:rsidR="00D426BD">
            <w:pPr>
              <w:autoSpaceDE w:val="false"/>
              <w:autoSpaceDN w:val="false"/>
              <w:adjustRightInd w:val="false"/>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52634238587</w:t>
            </w:r>
          </w:p>
        </w:tc>
        <w:tc>
          <w:tcPr>
            <w:tcW w:type="dxa" w:w="1134"/>
            <w:tcBorders>
              <w:top w:space="0" w:sz="6" w:color="000000" w:val="double"/>
              <w:left w:space="0" w:sz="6" w:color="000000" w:val="double"/>
              <w:bottom w:space="0" w:sz="6" w:color="000000" w:val="double"/>
              <w:right w:space="0" w:sz="6" w:color="000000" w:val="double"/>
            </w:tcBorders>
            <w:hideMark/>
          </w:tcPr>
          <w:p w:rsidRDefault="00D426BD" w:rsidR="00D426BD">
            <w:pPr>
              <w:autoSpaceDE w:val="false"/>
              <w:autoSpaceDN w:val="false"/>
              <w:adjustRightInd w:val="false"/>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Varaždin, Graberje 1</w:t>
            </w:r>
          </w:p>
        </w:tc>
        <w:tc>
          <w:tcPr>
            <w:tcW w:type="dxa" w:w="850"/>
            <w:tcBorders>
              <w:top w:space="0" w:sz="6" w:color="000000" w:val="double"/>
              <w:left w:space="0" w:sz="6" w:color="000000" w:val="double"/>
              <w:bottom w:space="0" w:sz="6" w:color="000000" w:val="double"/>
              <w:right w:space="0" w:sz="6" w:color="000000" w:val="double"/>
            </w:tcBorders>
            <w:hideMark/>
          </w:tcPr>
          <w:p w:rsidRDefault="00D426BD" w:rsidR="00D426BD">
            <w:pPr>
              <w:autoSpaceDE w:val="false"/>
              <w:autoSpaceDN w:val="false"/>
              <w:adjustRightInd w:val="false"/>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7.498,53</w:t>
            </w:r>
          </w:p>
        </w:tc>
        <w:tc>
          <w:tcPr>
            <w:tcW w:type="dxa" w:w="993"/>
            <w:tcBorders>
              <w:top w:space="0" w:sz="6" w:color="000000" w:val="double"/>
              <w:left w:space="0" w:sz="6" w:color="000000" w:val="double"/>
              <w:bottom w:space="0" w:sz="6" w:color="000000" w:val="double"/>
              <w:right w:space="0" w:sz="6" w:color="000000" w:val="double"/>
            </w:tcBorders>
            <w:shd w:fill="FFFFCC" w:color="FFFFFF" w:val="solid"/>
            <w:hideMark/>
          </w:tcPr>
          <w:p w:rsidRDefault="00D426BD" w:rsidR="00D426BD">
            <w:pPr>
              <w:autoSpaceDE w:val="false"/>
              <w:autoSpaceDN w:val="false"/>
              <w:adjustRightInd w:val="false"/>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porez na tvrtku, članarina HGK, kta</w:t>
            </w:r>
          </w:p>
        </w:tc>
        <w:tc>
          <w:tcPr>
            <w:tcW w:type="dxa" w:w="708"/>
            <w:tcBorders>
              <w:top w:space="0" w:sz="6" w:color="000000" w:val="double"/>
              <w:left w:space="0" w:sz="6" w:color="000000" w:val="double"/>
              <w:bottom w:space="0" w:sz="6" w:color="000000" w:val="double"/>
              <w:right w:space="0" w:sz="6" w:color="000000" w:val="double"/>
            </w:tcBorders>
            <w:hideMark/>
          </w:tcPr>
          <w:p w:rsidRDefault="00D426BD" w:rsidR="00D426BD">
            <w:pPr>
              <w:autoSpaceDE w:val="false"/>
              <w:autoSpaceDN w:val="false"/>
              <w:adjustRightInd w:val="false"/>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7.498,53</w:t>
            </w:r>
          </w:p>
        </w:tc>
        <w:tc>
          <w:tcPr>
            <w:tcW w:type="dxa" w:w="993"/>
            <w:tcBorders>
              <w:top w:space="0" w:sz="6" w:color="000000" w:val="double"/>
              <w:left w:space="0" w:sz="6" w:color="000000" w:val="double"/>
              <w:bottom w:space="0" w:sz="6" w:color="000000" w:val="double"/>
              <w:right w:space="0" w:sz="6" w:color="000000" w:val="double"/>
            </w:tcBorders>
            <w:shd w:fill="FFFFCC" w:color="FFFFFF" w:val="solid"/>
            <w:hideMark/>
          </w:tcPr>
          <w:p w:rsidRDefault="00D426BD" w:rsidR="00D426BD">
            <w:pPr>
              <w:autoSpaceDE w:val="false"/>
              <w:autoSpaceDN w:val="false"/>
              <w:adjustRightInd w:val="false"/>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knjigovodstvena kartica stanja računa poreznog obveznika, kta</w:t>
            </w:r>
          </w:p>
        </w:tc>
        <w:tc>
          <w:tcPr>
            <w:tcW w:type="dxa" w:w="850"/>
            <w:tcBorders>
              <w:top w:space="0" w:sz="6" w:color="000000" w:val="double"/>
              <w:left w:space="0" w:sz="6" w:color="000000" w:val="double"/>
              <w:bottom w:space="0" w:sz="6" w:color="000000" w:val="double"/>
              <w:right w:space="0" w:sz="6" w:color="000000" w:val="double"/>
            </w:tcBorders>
            <w:hideMark/>
          </w:tcPr>
          <w:p w:rsidRDefault="00D426BD" w:rsidR="00D426BD">
            <w:pPr>
              <w:autoSpaceDE w:val="false"/>
              <w:autoSpaceDN w:val="false"/>
              <w:adjustRightInd w:val="false"/>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0,00</w:t>
            </w:r>
          </w:p>
        </w:tc>
        <w:tc>
          <w:tcPr>
            <w:tcW w:type="dxa" w:w="851"/>
            <w:tcBorders>
              <w:top w:space="0" w:sz="6" w:color="000000" w:val="double"/>
              <w:left w:space="0" w:sz="6" w:color="000000" w:val="double"/>
              <w:bottom w:space="0" w:sz="6" w:color="000000" w:val="double"/>
              <w:right w:space="0" w:sz="6" w:color="000000" w:val="double"/>
            </w:tcBorders>
          </w:tcPr>
          <w:p w:rsidRDefault="00D426BD" w:rsidR="00D426BD">
            <w:pPr>
              <w:autoSpaceDE w:val="false"/>
              <w:autoSpaceDN w:val="false"/>
              <w:adjustRightInd w:val="false"/>
              <w:spacing w:lineRule="auto" w:line="276"/>
              <w:jc w:val="right"/>
              <w:rPr>
                <w:rFonts w:cs="Times New Roman" w:hAnsi="Times New Roman" w:ascii="Times New Roman"/>
                <w:color w:val="000000"/>
                <w:sz w:val="16"/>
                <w:szCs w:val="16"/>
              </w:rPr>
            </w:pPr>
          </w:p>
        </w:tc>
        <w:tc>
          <w:tcPr>
            <w:tcW w:type="dxa" w:w="1134"/>
            <w:tcBorders>
              <w:top w:space="0" w:sz="6" w:color="000000" w:val="double"/>
              <w:left w:space="0" w:sz="6" w:color="000000" w:val="double"/>
              <w:bottom w:space="0" w:sz="6" w:color="000000" w:val="double"/>
              <w:right w:space="0" w:sz="6" w:color="000000" w:val="double"/>
            </w:tcBorders>
            <w:hideMark/>
          </w:tcPr>
          <w:p w:rsidRDefault="00D426BD" w:rsidR="00D426BD">
            <w:pPr>
              <w:autoSpaceDE w:val="false"/>
              <w:autoSpaceDN w:val="false"/>
              <w:adjustRightInd w:val="false"/>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ovjerene knjigovodstvne kartice</w:t>
            </w:r>
          </w:p>
        </w:tc>
        <w:tc>
          <w:tcPr>
            <w:tcW w:type="dxa" w:w="992"/>
            <w:tcBorders>
              <w:top w:space="0" w:sz="6" w:color="000000" w:val="double"/>
              <w:left w:space="0" w:sz="6" w:color="000000" w:val="double"/>
              <w:bottom w:space="0" w:sz="6" w:color="000000" w:val="double"/>
              <w:right w:space="0" w:sz="6" w:color="000000" w:val="double"/>
            </w:tcBorders>
            <w:hideMark/>
          </w:tcPr>
          <w:p w:rsidRDefault="00D426BD" w:rsidR="00D426BD">
            <w:pPr>
              <w:autoSpaceDE w:val="false"/>
              <w:autoSpaceDN w:val="false"/>
              <w:adjustRightInd w:val="false"/>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100,00%</w:t>
            </w:r>
          </w:p>
        </w:tc>
      </w:tr>
      <w:tr w:rsidTr="00D426BD" w:rsidR="00D426BD">
        <w:trPr>
          <w:trHeight w:val="254"/>
        </w:trPr>
        <w:tc>
          <w:tcPr>
            <w:tcW w:type="dxa" w:w="369"/>
            <w:tcBorders>
              <w:top w:space="0" w:sz="6" w:color="000000" w:val="double"/>
              <w:left w:space="0" w:sz="6" w:color="000000" w:val="double"/>
              <w:bottom w:space="0" w:sz="6" w:color="000000" w:val="double"/>
              <w:right w:space="0" w:sz="6" w:color="000000" w:val="double"/>
            </w:tcBorders>
          </w:tcPr>
          <w:p w:rsidRDefault="00D426BD" w:rsidR="00D426BD">
            <w:pPr>
              <w:autoSpaceDE w:val="false"/>
              <w:autoSpaceDN w:val="false"/>
              <w:adjustRightInd w:val="false"/>
              <w:spacing w:lineRule="auto" w:line="276"/>
              <w:jc w:val="center"/>
              <w:rPr>
                <w:rFonts w:cs="Times New Roman" w:hAnsi="Times New Roman" w:ascii="Times New Roman"/>
                <w:color w:val="000000"/>
                <w:sz w:val="16"/>
                <w:szCs w:val="16"/>
              </w:rPr>
            </w:pPr>
          </w:p>
        </w:tc>
        <w:tc>
          <w:tcPr>
            <w:tcW w:type="dxa" w:w="1333"/>
            <w:tcBorders>
              <w:top w:space="0" w:sz="6" w:color="000000" w:val="double"/>
              <w:left w:space="0" w:sz="6" w:color="000000" w:val="double"/>
              <w:bottom w:space="0" w:sz="6" w:color="000000" w:val="double"/>
              <w:right w:space="0" w:sz="6" w:color="000000" w:val="double"/>
            </w:tcBorders>
          </w:tcPr>
          <w:p w:rsidRDefault="00D426BD" w:rsidR="00D426BD">
            <w:pPr>
              <w:autoSpaceDE w:val="false"/>
              <w:autoSpaceDN w:val="false"/>
              <w:adjustRightInd w:val="false"/>
              <w:spacing w:lineRule="auto" w:line="276"/>
              <w:jc w:val="right"/>
              <w:rPr>
                <w:rFonts w:cs="Times New Roman" w:hAnsi="Times New Roman" w:ascii="Times New Roman"/>
                <w:color w:val="000000"/>
                <w:sz w:val="16"/>
                <w:szCs w:val="16"/>
              </w:rPr>
            </w:pPr>
          </w:p>
        </w:tc>
        <w:tc>
          <w:tcPr>
            <w:tcW w:type="dxa" w:w="992"/>
            <w:tcBorders>
              <w:top w:space="0" w:sz="6" w:color="000000" w:val="double"/>
              <w:left w:space="0" w:sz="6" w:color="000000" w:val="double"/>
              <w:bottom w:space="0" w:sz="6" w:color="000000" w:val="double"/>
              <w:right w:space="0" w:sz="6" w:color="000000" w:val="double"/>
            </w:tcBorders>
          </w:tcPr>
          <w:p w:rsidRDefault="00D426BD" w:rsidR="00D426BD">
            <w:pPr>
              <w:autoSpaceDE w:val="false"/>
              <w:autoSpaceDN w:val="false"/>
              <w:adjustRightInd w:val="false"/>
              <w:spacing w:lineRule="auto" w:line="276"/>
              <w:jc w:val="right"/>
              <w:rPr>
                <w:rFonts w:cs="Times New Roman" w:hAnsi="Times New Roman" w:ascii="Times New Roman"/>
                <w:color w:val="000000"/>
                <w:sz w:val="16"/>
                <w:szCs w:val="16"/>
              </w:rPr>
            </w:pPr>
          </w:p>
        </w:tc>
        <w:tc>
          <w:tcPr>
            <w:tcW w:type="dxa" w:w="1134"/>
            <w:tcBorders>
              <w:top w:space="0" w:sz="6" w:color="000000" w:val="double"/>
              <w:left w:space="0" w:sz="6" w:color="000000" w:val="double"/>
              <w:bottom w:space="0" w:sz="6" w:color="000000" w:val="double"/>
              <w:right w:space="0" w:sz="6" w:color="000000" w:val="double"/>
            </w:tcBorders>
            <w:hideMark/>
          </w:tcPr>
          <w:p w:rsidRDefault="00D426BD" w:rsidR="00D426BD">
            <w:pPr>
              <w:autoSpaceDE w:val="false"/>
              <w:autoSpaceDN w:val="false"/>
              <w:adjustRightInd w:val="false"/>
              <w:spacing w:lineRule="auto" w:line="276"/>
              <w:jc w:val="right"/>
              <w:rPr>
                <w:rFonts w:cs="Times New Roman" w:hAnsi="Times New Roman" w:ascii="Times New Roman"/>
                <w:b/>
                <w:bCs/>
                <w:color w:val="000000"/>
                <w:sz w:val="16"/>
                <w:szCs w:val="16"/>
              </w:rPr>
            </w:pPr>
            <w:r>
              <w:rPr>
                <w:rFonts w:cs="Times New Roman" w:hAnsi="Times New Roman" w:ascii="Times New Roman"/>
                <w:b/>
                <w:bCs/>
                <w:color w:val="000000"/>
                <w:sz w:val="16"/>
                <w:szCs w:val="16"/>
              </w:rPr>
              <w:t>UKUPNO:</w:t>
            </w:r>
          </w:p>
        </w:tc>
        <w:tc>
          <w:tcPr>
            <w:tcW w:type="dxa" w:w="850"/>
            <w:tcBorders>
              <w:top w:space="0" w:sz="6" w:color="000000" w:val="double"/>
              <w:left w:space="0" w:sz="6" w:color="000000" w:val="double"/>
              <w:bottom w:space="0" w:sz="6" w:color="000000" w:val="double"/>
              <w:right w:space="0" w:sz="6" w:color="000000" w:val="double"/>
            </w:tcBorders>
            <w:hideMark/>
          </w:tcPr>
          <w:p w:rsidRDefault="00D426BD" w:rsidR="00D426BD">
            <w:pPr>
              <w:autoSpaceDE w:val="false"/>
              <w:autoSpaceDN w:val="false"/>
              <w:adjustRightInd w:val="false"/>
              <w:spacing w:lineRule="auto" w:line="276"/>
              <w:jc w:val="right"/>
              <w:rPr>
                <w:rFonts w:cs="Times New Roman" w:hAnsi="Times New Roman" w:ascii="Times New Roman"/>
                <w:b/>
                <w:bCs/>
                <w:color w:val="000000"/>
                <w:sz w:val="16"/>
                <w:szCs w:val="16"/>
              </w:rPr>
            </w:pPr>
            <w:r>
              <w:rPr>
                <w:rFonts w:cs="Times New Roman" w:hAnsi="Times New Roman" w:ascii="Times New Roman"/>
                <w:b/>
                <w:bCs/>
                <w:color w:val="000000"/>
                <w:sz w:val="16"/>
                <w:szCs w:val="16"/>
              </w:rPr>
              <w:t>7.498,53</w:t>
            </w:r>
          </w:p>
        </w:tc>
        <w:tc>
          <w:tcPr>
            <w:tcW w:type="dxa" w:w="993"/>
            <w:tcBorders>
              <w:top w:space="0" w:sz="6" w:color="000000" w:val="double"/>
              <w:left w:space="0" w:sz="6" w:color="000000" w:val="double"/>
              <w:bottom w:space="0" w:sz="6" w:color="000000" w:val="double"/>
              <w:right w:space="0" w:sz="6" w:color="000000" w:val="double"/>
            </w:tcBorders>
          </w:tcPr>
          <w:p w:rsidRDefault="00D426BD" w:rsidR="00D426BD">
            <w:pPr>
              <w:autoSpaceDE w:val="false"/>
              <w:autoSpaceDN w:val="false"/>
              <w:adjustRightInd w:val="false"/>
              <w:spacing w:lineRule="auto" w:line="276"/>
              <w:jc w:val="center"/>
              <w:rPr>
                <w:rFonts w:cs="Times New Roman" w:hAnsi="Times New Roman" w:ascii="Times New Roman"/>
                <w:b/>
                <w:bCs/>
                <w:color w:val="000000"/>
                <w:sz w:val="16"/>
                <w:szCs w:val="16"/>
              </w:rPr>
            </w:pPr>
          </w:p>
        </w:tc>
        <w:tc>
          <w:tcPr>
            <w:tcW w:type="dxa" w:w="708"/>
            <w:tcBorders>
              <w:top w:space="0" w:sz="6" w:color="000000" w:val="double"/>
              <w:left w:space="0" w:sz="6" w:color="000000" w:val="double"/>
              <w:bottom w:space="0" w:sz="6" w:color="000000" w:val="double"/>
              <w:right w:space="0" w:sz="6" w:color="000000" w:val="double"/>
            </w:tcBorders>
            <w:hideMark/>
          </w:tcPr>
          <w:p w:rsidRDefault="00D426BD" w:rsidR="00D426BD">
            <w:pPr>
              <w:autoSpaceDE w:val="false"/>
              <w:autoSpaceDN w:val="false"/>
              <w:adjustRightInd w:val="false"/>
              <w:spacing w:lineRule="auto" w:line="276"/>
              <w:jc w:val="right"/>
              <w:rPr>
                <w:rFonts w:cs="Times New Roman" w:hAnsi="Times New Roman" w:ascii="Times New Roman"/>
                <w:b/>
                <w:bCs/>
                <w:color w:val="000000"/>
                <w:sz w:val="16"/>
                <w:szCs w:val="16"/>
              </w:rPr>
            </w:pPr>
            <w:r>
              <w:rPr>
                <w:rFonts w:cs="Times New Roman" w:hAnsi="Times New Roman" w:ascii="Times New Roman"/>
                <w:b/>
                <w:bCs/>
                <w:color w:val="000000"/>
                <w:sz w:val="16"/>
                <w:szCs w:val="16"/>
              </w:rPr>
              <w:t>7.498,53</w:t>
            </w:r>
          </w:p>
        </w:tc>
        <w:tc>
          <w:tcPr>
            <w:tcW w:type="dxa" w:w="993"/>
            <w:tcBorders>
              <w:top w:space="0" w:sz="6" w:color="000000" w:val="double"/>
              <w:left w:space="0" w:sz="6" w:color="000000" w:val="double"/>
              <w:bottom w:space="0" w:sz="6" w:color="000000" w:val="double"/>
              <w:right w:space="0" w:sz="6" w:color="000000" w:val="double"/>
            </w:tcBorders>
          </w:tcPr>
          <w:p w:rsidRDefault="00D426BD" w:rsidR="00D426BD">
            <w:pPr>
              <w:autoSpaceDE w:val="false"/>
              <w:autoSpaceDN w:val="false"/>
              <w:adjustRightInd w:val="false"/>
              <w:spacing w:lineRule="auto" w:line="276"/>
              <w:jc w:val="center"/>
              <w:rPr>
                <w:rFonts w:cs="Times New Roman" w:hAnsi="Times New Roman" w:ascii="Times New Roman"/>
                <w:b/>
                <w:bCs/>
                <w:color w:val="000000"/>
                <w:sz w:val="16"/>
                <w:szCs w:val="16"/>
              </w:rPr>
            </w:pPr>
          </w:p>
        </w:tc>
        <w:tc>
          <w:tcPr>
            <w:tcW w:type="dxa" w:w="850"/>
            <w:tcBorders>
              <w:top w:space="0" w:sz="6" w:color="000000" w:val="double"/>
              <w:left w:space="0" w:sz="6" w:color="000000" w:val="double"/>
              <w:bottom w:space="0" w:sz="6" w:color="000000" w:val="double"/>
              <w:right w:space="0" w:sz="6" w:color="000000" w:val="double"/>
            </w:tcBorders>
            <w:hideMark/>
          </w:tcPr>
          <w:p w:rsidRDefault="00D426BD" w:rsidR="00D426BD">
            <w:pPr>
              <w:autoSpaceDE w:val="false"/>
              <w:autoSpaceDN w:val="false"/>
              <w:adjustRightInd w:val="false"/>
              <w:spacing w:lineRule="auto" w:line="276"/>
              <w:jc w:val="right"/>
              <w:rPr>
                <w:rFonts w:cs="Times New Roman" w:hAnsi="Times New Roman" w:ascii="Times New Roman"/>
                <w:b/>
                <w:bCs/>
                <w:color w:val="000000"/>
                <w:sz w:val="16"/>
                <w:szCs w:val="16"/>
              </w:rPr>
            </w:pPr>
            <w:r>
              <w:rPr>
                <w:rFonts w:cs="Times New Roman" w:hAnsi="Times New Roman" w:ascii="Times New Roman"/>
                <w:b/>
                <w:bCs/>
                <w:color w:val="000000"/>
                <w:sz w:val="16"/>
                <w:szCs w:val="16"/>
              </w:rPr>
              <w:t>0,00</w:t>
            </w:r>
          </w:p>
        </w:tc>
        <w:tc>
          <w:tcPr>
            <w:tcW w:type="dxa" w:w="851"/>
            <w:tcBorders>
              <w:top w:space="0" w:sz="6" w:color="000000" w:val="double"/>
              <w:left w:space="0" w:sz="6" w:color="000000" w:val="double"/>
              <w:bottom w:space="0" w:sz="6" w:color="000000" w:val="double"/>
              <w:right w:space="0" w:sz="6" w:color="000000" w:val="double"/>
            </w:tcBorders>
            <w:shd w:fill="FFFFCC" w:color="FFFFFF" w:val="solid"/>
          </w:tcPr>
          <w:p w:rsidRDefault="00D426BD" w:rsidR="00D426BD">
            <w:pPr>
              <w:autoSpaceDE w:val="false"/>
              <w:autoSpaceDN w:val="false"/>
              <w:adjustRightInd w:val="false"/>
              <w:spacing w:lineRule="auto" w:line="276"/>
              <w:jc w:val="right"/>
              <w:rPr>
                <w:rFonts w:cs="Times New Roman" w:hAnsi="Times New Roman" w:ascii="Times New Roman"/>
                <w:color w:val="000000"/>
                <w:sz w:val="16"/>
                <w:szCs w:val="16"/>
              </w:rPr>
            </w:pPr>
          </w:p>
        </w:tc>
        <w:tc>
          <w:tcPr>
            <w:tcW w:type="dxa" w:w="1134"/>
            <w:tcBorders>
              <w:top w:space="0" w:sz="6" w:color="000000" w:val="double"/>
              <w:left w:space="0" w:sz="6" w:color="000000" w:val="double"/>
              <w:bottom w:space="0" w:sz="6" w:color="000000" w:val="double"/>
              <w:right w:space="0" w:sz="6" w:color="000000" w:val="double"/>
            </w:tcBorders>
            <w:shd w:fill="FFFFCC" w:color="FFFFFF" w:val="solid"/>
          </w:tcPr>
          <w:p w:rsidRDefault="00D426BD" w:rsidR="00D426BD">
            <w:pPr>
              <w:autoSpaceDE w:val="false"/>
              <w:autoSpaceDN w:val="false"/>
              <w:adjustRightInd w:val="false"/>
              <w:spacing w:lineRule="auto" w:line="276"/>
              <w:jc w:val="right"/>
              <w:rPr>
                <w:rFonts w:cs="Times New Roman" w:hAnsi="Times New Roman" w:ascii="Times New Roman"/>
                <w:color w:val="000000"/>
                <w:sz w:val="16"/>
                <w:szCs w:val="16"/>
              </w:rPr>
            </w:pPr>
          </w:p>
        </w:tc>
        <w:tc>
          <w:tcPr>
            <w:tcW w:type="dxa" w:w="992"/>
            <w:tcBorders>
              <w:top w:space="0" w:sz="6" w:color="000000" w:val="double"/>
              <w:left w:space="0" w:sz="6" w:color="000000" w:val="double"/>
              <w:bottom w:space="0" w:sz="6" w:color="000000" w:val="double"/>
              <w:right w:space="0" w:sz="6" w:color="000000" w:val="double"/>
            </w:tcBorders>
            <w:hideMark/>
          </w:tcPr>
          <w:p w:rsidRDefault="00D426BD" w:rsidR="00D426BD">
            <w:pPr>
              <w:autoSpaceDE w:val="false"/>
              <w:autoSpaceDN w:val="false"/>
              <w:adjustRightInd w:val="false"/>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100,00%</w:t>
            </w:r>
          </w:p>
        </w:tc>
      </w:tr>
    </w:tbl>
    <w:p w:rsidRDefault="00D426BD" w:rsidP="00D426BD" w:rsidR="00D426BD">
      <w:pPr>
        <w:jc w:val="both"/>
        <w:rPr>
          <w:rFonts w:cs="Times New Roman" w:hAnsi="Times New Roman" w:ascii="Times New Roman"/>
          <w:sz w:val="20"/>
          <w:lang w:eastAsia="hr-HR"/>
        </w:rPr>
      </w:pPr>
    </w:p>
    <w:p w:rsidRDefault="00D426BD" w:rsidP="00D426BD" w:rsidR="00D426BD">
      <w:pPr>
        <w:jc w:val="both"/>
        <w:rPr>
          <w:rFonts w:cs="Times New Roman" w:hAnsi="Times New Roman" w:ascii="Times New Roman"/>
          <w:b/>
        </w:rPr>
      </w:pPr>
    </w:p>
    <w:p w:rsidRDefault="00D426BD" w:rsidP="00D426BD" w:rsidR="00D426BD">
      <w:pPr>
        <w:jc w:val="both"/>
        <w:rPr>
          <w:rFonts w:cs="Times New Roman" w:hAnsi="Times New Roman" w:ascii="Times New Roman"/>
        </w:rPr>
      </w:pPr>
    </w:p>
    <w:p w:rsidRDefault="00D426BD" w:rsidP="00D426BD" w:rsidR="00D426BD">
      <w:pPr>
        <w:jc w:val="center"/>
        <w:rPr>
          <w:rFonts w:cs="Times New Roman" w:hAnsi="Times New Roman" w:ascii="Times New Roman"/>
          <w:szCs w:val="24"/>
        </w:rPr>
      </w:pPr>
      <w:r>
        <w:rPr>
          <w:rFonts w:cs="Times New Roman" w:hAnsi="Times New Roman" w:ascii="Times New Roman"/>
          <w:szCs w:val="24"/>
        </w:rPr>
        <w:t>Obrazloženje:</w:t>
      </w:r>
    </w:p>
    <w:p w:rsidRDefault="00D426BD" w:rsidP="00D426BD" w:rsidR="00D426BD">
      <w:pPr>
        <w:jc w:val="center"/>
        <w:rPr>
          <w:rFonts w:cs="Times New Roman" w:hAnsi="Times New Roman" w:ascii="Times New Roman"/>
          <w:szCs w:val="24"/>
        </w:rPr>
      </w:pPr>
    </w:p>
    <w:p w:rsidRDefault="00D426BD" w:rsidP="00D426BD" w:rsidR="00D426BD">
      <w:pPr>
        <w:jc w:val="both"/>
        <w:rPr>
          <w:rFonts w:cs="Times New Roman" w:hAnsi="Times New Roman" w:ascii="Times New Roman"/>
          <w:szCs w:val="24"/>
        </w:rPr>
      </w:pPr>
    </w:p>
    <w:p w:rsidRDefault="00D426BD" w:rsidP="00D426BD" w:rsidR="00D426BD">
      <w:pPr>
        <w:jc w:val="both"/>
        <w:rPr>
          <w:rFonts w:cs="Times New Roman" w:hAnsi="Times New Roman" w:ascii="Times New Roman"/>
          <w:szCs w:val="24"/>
        </w:rPr>
      </w:pPr>
      <w:r>
        <w:rPr>
          <w:rFonts w:cs="Times New Roman" w:hAnsi="Times New Roman" w:ascii="Times New Roman"/>
          <w:szCs w:val="24"/>
        </w:rPr>
        <w:tab/>
        <w:t xml:space="preserve">Rješenjem ovoga suda poslovni broj St-75/17-3 od 14. lipnja 2017. određen je nastavak stečajnog postupka nad stečajnom masom dužnika VICTORIA d.o.o., Varaždin, Ivana Trnskog 8, OIB: 61823724754, radi toga jer je pronađena imovina koja ulazi u stečajnu masu. </w:t>
      </w:r>
    </w:p>
    <w:p w:rsidRDefault="00D426BD" w:rsidP="00D426BD" w:rsidR="00D426BD">
      <w:pPr>
        <w:jc w:val="both"/>
        <w:rPr>
          <w:rFonts w:cs="Times New Roman" w:hAnsi="Times New Roman" w:ascii="Times New Roman"/>
          <w:szCs w:val="24"/>
        </w:rPr>
      </w:pPr>
    </w:p>
    <w:p w:rsidRDefault="00D426BD" w:rsidP="00D426BD" w:rsidR="00D426BD">
      <w:pPr>
        <w:jc w:val="both"/>
        <w:rPr>
          <w:rFonts w:cs="Times New Roman" w:hAnsi="Times New Roman" w:ascii="Times New Roman"/>
          <w:szCs w:val="24"/>
        </w:rPr>
      </w:pPr>
      <w:r>
        <w:rPr>
          <w:rFonts w:cs="Times New Roman" w:hAnsi="Times New Roman" w:ascii="Times New Roman"/>
          <w:szCs w:val="24"/>
        </w:rPr>
        <w:tab/>
        <w:t xml:space="preserve">Na ispitnom ročištu održanom 15. rujna 2017. ispitane su prijavljene tražbine prema iznosima i redu. Nakon ispitnog ročišta stečajni sudac je sastavio, sukladno odredbi čl. 264. Stečajnog zakona (NN 71/15 dalje skraćeno: SZ-a), posebnu tablicu ispitanih tražbina u kojoj su za svaku prijavljenu tražbinu uneseni podaci o tome u kojoj je mjeri tražbina utvrđena prema svom iznosu i svom redu. </w:t>
      </w:r>
    </w:p>
    <w:p w:rsidRDefault="00D426BD" w:rsidP="00D426BD" w:rsidR="00D426BD">
      <w:pPr>
        <w:ind w:firstLine="708"/>
        <w:jc w:val="both"/>
        <w:rPr>
          <w:rFonts w:cs="Times New Roman" w:hAnsi="Times New Roman" w:ascii="Times New Roman"/>
          <w:szCs w:val="24"/>
        </w:rPr>
      </w:pPr>
      <w:r>
        <w:rPr>
          <w:rFonts w:cs="Times New Roman" w:hAnsi="Times New Roman" w:ascii="Times New Roman"/>
          <w:szCs w:val="24"/>
        </w:rPr>
        <w:lastRenderedPageBreak/>
        <w:t xml:space="preserve">Prijavljenih tražbina prvog višeg isplatnog reda nije bilo. </w:t>
      </w:r>
    </w:p>
    <w:p w:rsidRDefault="00D426BD" w:rsidP="00D426BD" w:rsidR="00D426BD">
      <w:pPr>
        <w:jc w:val="both"/>
        <w:rPr>
          <w:rFonts w:cs="Times New Roman" w:hAnsi="Times New Roman" w:ascii="Times New Roman"/>
          <w:szCs w:val="24"/>
        </w:rPr>
      </w:pPr>
    </w:p>
    <w:p w:rsidRDefault="00D426BD" w:rsidP="00D426BD" w:rsidR="00D426BD">
      <w:pPr>
        <w:ind w:firstLine="708"/>
        <w:jc w:val="both"/>
        <w:rPr>
          <w:rFonts w:cs="Times New Roman" w:hAnsi="Times New Roman" w:ascii="Times New Roman"/>
          <w:szCs w:val="24"/>
        </w:rPr>
      </w:pPr>
      <w:r>
        <w:rPr>
          <w:rFonts w:cs="Times New Roman" w:hAnsi="Times New Roman" w:ascii="Times New Roman"/>
          <w:szCs w:val="24"/>
        </w:rPr>
        <w:t xml:space="preserve">U drugom višem isplatnom redu prijavljene su tražbine u iznosu od </w:t>
      </w:r>
      <w:r>
        <w:rPr>
          <w:rFonts w:cs="Times New Roman" w:hAnsi="Times New Roman" w:ascii="Times New Roman"/>
          <w:bCs/>
          <w:color w:val="000000"/>
        </w:rPr>
        <w:t xml:space="preserve">7.498,53 </w:t>
      </w:r>
      <w:r>
        <w:rPr>
          <w:rFonts w:cs="Times New Roman" w:hAnsi="Times New Roman" w:ascii="Times New Roman"/>
        </w:rPr>
        <w:t>kn</w:t>
      </w:r>
      <w:r>
        <w:rPr>
          <w:rFonts w:cs="Times New Roman" w:hAnsi="Times New Roman" w:ascii="Times New Roman"/>
          <w:szCs w:val="24"/>
        </w:rPr>
        <w:t xml:space="preserve">, a koje su u cijelosti priznate. </w:t>
      </w:r>
    </w:p>
    <w:p w:rsidRDefault="00D426BD" w:rsidP="00D426BD" w:rsidR="00D426BD">
      <w:pPr>
        <w:ind w:firstLine="708"/>
        <w:jc w:val="both"/>
        <w:rPr>
          <w:rFonts w:cs="Times New Roman" w:hAnsi="Times New Roman" w:ascii="Times New Roman"/>
          <w:szCs w:val="24"/>
        </w:rPr>
      </w:pPr>
    </w:p>
    <w:p w:rsidRDefault="00D426BD" w:rsidP="00D426BD" w:rsidR="00D426BD">
      <w:pPr>
        <w:jc w:val="both"/>
        <w:rPr>
          <w:rFonts w:cs="Times New Roman" w:hAnsi="Times New Roman" w:ascii="Times New Roman"/>
          <w:szCs w:val="24"/>
        </w:rPr>
      </w:pPr>
      <w:r>
        <w:rPr>
          <w:rFonts w:cs="Times New Roman" w:hAnsi="Times New Roman" w:ascii="Times New Roman"/>
          <w:szCs w:val="24"/>
        </w:rPr>
        <w:tab/>
        <w:t>Stoga je na temelju odredbe čl. 265. SZ doneseno rješenje o utvrđenim i osporenim tražbinama i odlučeno kao u izreci toga rješenja.</w:t>
      </w:r>
    </w:p>
    <w:p w:rsidRDefault="00D426BD" w:rsidP="00D426BD" w:rsidR="00D426BD">
      <w:pPr>
        <w:jc w:val="both"/>
        <w:rPr>
          <w:rFonts w:cs="Times New Roman" w:hAnsi="Times New Roman" w:ascii="Times New Roman"/>
          <w:szCs w:val="24"/>
        </w:rPr>
      </w:pPr>
    </w:p>
    <w:p w:rsidRDefault="00D426BD" w:rsidP="00D426BD" w:rsidR="00D426BD">
      <w:pPr>
        <w:jc w:val="center"/>
        <w:rPr>
          <w:rFonts w:cs="Times New Roman" w:hAnsi="Times New Roman" w:ascii="Times New Roman"/>
          <w:szCs w:val="24"/>
        </w:rPr>
      </w:pPr>
      <w:r>
        <w:rPr>
          <w:rFonts w:cs="Times New Roman" w:hAnsi="Times New Roman" w:ascii="Times New Roman"/>
          <w:szCs w:val="24"/>
        </w:rPr>
        <w:t>U Varaždinu, 15. rujna 2017.</w:t>
      </w:r>
    </w:p>
    <w:p w:rsidRDefault="00D426BD" w:rsidP="00D426BD" w:rsidR="00D426BD">
      <w:pPr>
        <w:jc w:val="both"/>
        <w:rPr>
          <w:rFonts w:cs="Times New Roman" w:hAnsi="Times New Roman" w:ascii="Times New Roman"/>
          <w:szCs w:val="24"/>
        </w:rPr>
      </w:pP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p>
    <w:p w:rsidRDefault="00D426BD" w:rsidP="00D426BD" w:rsidR="00D426BD">
      <w:pPr>
        <w:jc w:val="both"/>
        <w:rPr>
          <w:rFonts w:cs="Times New Roman" w:hAnsi="Times New Roman" w:ascii="Times New Roman"/>
          <w:szCs w:val="24"/>
        </w:rPr>
      </w:pPr>
      <w:r>
        <w:rPr>
          <w:rFonts w:cs="Times New Roman" w:hAnsi="Times New Roman" w:ascii="Times New Roman"/>
          <w:szCs w:val="24"/>
        </w:rPr>
        <w:tab/>
      </w:r>
    </w:p>
    <w:p w:rsidRDefault="00D426BD" w:rsidP="00D426BD" w:rsidR="00D426BD">
      <w:pPr>
        <w:jc w:val="both"/>
        <w:rPr>
          <w:rFonts w:cs="Times New Roman" w:hAnsi="Times New Roman" w:ascii="Times New Roman"/>
          <w:szCs w:val="24"/>
        </w:rPr>
      </w:pP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t xml:space="preserve">Stečajni sudac: </w:t>
      </w:r>
    </w:p>
    <w:p w:rsidRDefault="00D426BD" w:rsidP="00D426BD" w:rsidR="00D426BD">
      <w:pPr>
        <w:jc w:val="both"/>
        <w:rPr>
          <w:rFonts w:cs="Times New Roman" w:hAnsi="Times New Roman" w:ascii="Times New Roman"/>
          <w:szCs w:val="24"/>
        </w:rPr>
      </w:pPr>
    </w:p>
    <w:p w:rsidRDefault="00D426BD" w:rsidP="00D426BD" w:rsidR="00D426BD">
      <w:pPr>
        <w:jc w:val="both"/>
        <w:rPr>
          <w:rFonts w:cs="Times New Roman" w:hAnsi="Times New Roman" w:ascii="Times New Roman"/>
          <w:szCs w:val="24"/>
        </w:rPr>
      </w:pP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t xml:space="preserve">       Iris Hatvalić Nemec, v.r.</w:t>
      </w:r>
    </w:p>
    <w:p w:rsidRDefault="00D426BD" w:rsidP="00D426BD" w:rsidR="00D426BD">
      <w:pPr>
        <w:jc w:val="both"/>
        <w:rPr>
          <w:rFonts w:cs="Times New Roman" w:hAnsi="Times New Roman" w:ascii="Times New Roman"/>
          <w:szCs w:val="24"/>
        </w:rPr>
      </w:pPr>
    </w:p>
    <w:p w:rsidRDefault="00D426BD" w:rsidP="00D426BD" w:rsidR="00D426BD">
      <w:pPr>
        <w:ind w:firstLine="708" w:left="4248"/>
        <w:jc w:val="both"/>
        <w:rPr>
          <w:rFonts w:cs="Times New Roman" w:hAnsi="Times New Roman" w:ascii="Times New Roman"/>
          <w:szCs w:val="24"/>
        </w:rPr>
      </w:pPr>
      <w:r>
        <w:rPr>
          <w:rFonts w:cs="Times New Roman" w:hAnsi="Times New Roman" w:ascii="Times New Roman"/>
          <w:szCs w:val="24"/>
        </w:rPr>
        <w:t xml:space="preserve">     Za točnost otpravka-ovlašteni službenik:</w:t>
      </w:r>
    </w:p>
    <w:p w:rsidRDefault="00D426BD" w:rsidP="00D426BD" w:rsidR="00D426BD">
      <w:pPr>
        <w:ind w:firstLine="708" w:left="4248"/>
        <w:jc w:val="both"/>
        <w:rPr>
          <w:rFonts w:cs="Times New Roman" w:hAnsi="Times New Roman" w:ascii="Times New Roman"/>
          <w:szCs w:val="24"/>
        </w:rPr>
      </w:pPr>
    </w:p>
    <w:p w:rsidRDefault="00D426BD" w:rsidP="00D426BD" w:rsidR="00D426BD">
      <w:pPr>
        <w:jc w:val="both"/>
        <w:rPr>
          <w:rFonts w:cs="Times New Roman" w:hAnsi="Times New Roman" w:ascii="Times New Roman"/>
          <w:szCs w:val="24"/>
        </w:rPr>
      </w:pPr>
    </w:p>
    <w:p w:rsidRDefault="00D426BD" w:rsidP="00D426BD" w:rsidR="00D426BD">
      <w:pPr>
        <w:ind w:firstLine="708"/>
        <w:jc w:val="both"/>
        <w:rPr>
          <w:rFonts w:cs="Times New Roman" w:hAnsi="Times New Roman" w:ascii="Times New Roman"/>
          <w:szCs w:val="24"/>
        </w:rPr>
      </w:pPr>
      <w:r>
        <w:rPr>
          <w:rFonts w:cs="Times New Roman" w:hAnsi="Times New Roman" w:ascii="Times New Roman"/>
          <w:szCs w:val="24"/>
        </w:rPr>
        <w:t>Pouka o pravnom lijeku:</w:t>
      </w:r>
    </w:p>
    <w:p w:rsidRDefault="00D426BD" w:rsidP="00D426BD" w:rsidR="00D426BD">
      <w:pPr>
        <w:ind w:firstLine="708"/>
        <w:jc w:val="both"/>
        <w:rPr>
          <w:rFonts w:cs="Times New Roman" w:hAnsi="Times New Roman" w:ascii="Times New Roman"/>
          <w:szCs w:val="24"/>
        </w:rPr>
      </w:pPr>
      <w:r>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D426BD" w:rsidP="00D426BD" w:rsidR="00D426BD">
      <w:pPr>
        <w:ind w:firstLine="708"/>
        <w:jc w:val="both"/>
        <w:rPr>
          <w:rFonts w:cs="Times New Roman" w:hAnsi="Times New Roman" w:ascii="Times New Roman"/>
          <w:szCs w:val="24"/>
        </w:rPr>
      </w:pPr>
      <w:r>
        <w:rPr>
          <w:rFonts w:cs="Times New Roman" w:hAnsi="Times New Roman" w:ascii="Times New Roman"/>
          <w:szCs w:val="24"/>
        </w:rPr>
        <w:t>Žalba se podnosi preporučeno poštom, ili se predaje neposredno ovome sudu u 3 primjerka, a o žalbu odlučuje Visoki trgovački sud RH Zagreb.</w:t>
      </w:r>
    </w:p>
    <w:p w:rsidRDefault="00D426BD" w:rsidP="00D426BD" w:rsidR="00D426BD">
      <w:pPr>
        <w:tabs>
          <w:tab w:pos="840" w:val="left"/>
        </w:tabs>
        <w:ind w:left="708"/>
        <w:jc w:val="both"/>
        <w:rPr>
          <w:rFonts w:cs="Times New Roman" w:hAnsi="Times New Roman" w:ascii="Times New Roman"/>
          <w:szCs w:val="24"/>
        </w:rPr>
      </w:pPr>
      <w:r>
        <w:rPr>
          <w:rFonts w:cs="Times New Roman" w:hAnsi="Times New Roman" w:ascii="Times New Roman"/>
          <w:szCs w:val="24"/>
        </w:rPr>
        <w:tab/>
      </w:r>
      <w:r>
        <w:rPr>
          <w:rFonts w:cs="Times New Roman" w:hAnsi="Times New Roman" w:ascii="Times New Roman"/>
          <w:szCs w:val="24"/>
        </w:rPr>
        <w:tab/>
      </w:r>
    </w:p>
    <w:p w:rsidRDefault="00D426BD" w:rsidP="00D426BD" w:rsidR="00D426BD">
      <w:pPr>
        <w:tabs>
          <w:tab w:pos="840" w:val="left"/>
        </w:tabs>
        <w:ind w:left="708"/>
        <w:jc w:val="both"/>
        <w:rPr>
          <w:rFonts w:cs="Times New Roman" w:hAnsi="Times New Roman" w:ascii="Times New Roman"/>
          <w:szCs w:val="24"/>
        </w:rPr>
      </w:pPr>
      <w:r>
        <w:rPr>
          <w:rFonts w:cs="Times New Roman" w:hAnsi="Times New Roman" w:ascii="Times New Roman"/>
          <w:szCs w:val="24"/>
        </w:rPr>
        <w:tab/>
      </w:r>
      <w:r>
        <w:rPr>
          <w:rFonts w:cs="Times New Roman" w:hAnsi="Times New Roman" w:ascii="Times New Roman"/>
          <w:szCs w:val="24"/>
        </w:rPr>
        <w:tab/>
      </w:r>
    </w:p>
    <w:p w:rsidRDefault="00D426BD" w:rsidP="00D426BD" w:rsidR="00D426BD">
      <w:pPr>
        <w:jc w:val="both"/>
        <w:rPr>
          <w:rFonts w:cs="Times New Roman" w:hAnsi="Times New Roman" w:ascii="Times New Roman"/>
          <w:szCs w:val="24"/>
        </w:rPr>
      </w:pPr>
    </w:p>
    <w:p w:rsidRDefault="00D426BD" w:rsidP="00D426BD" w:rsidR="00D426BD">
      <w:pPr>
        <w:ind w:left="708"/>
        <w:jc w:val="both"/>
        <w:rPr>
          <w:rFonts w:cs="Times New Roman" w:hAnsi="Times New Roman" w:ascii="Times New Roman"/>
          <w:szCs w:val="24"/>
        </w:rPr>
      </w:pPr>
      <w:r>
        <w:rPr>
          <w:rFonts w:cs="Times New Roman" w:hAnsi="Times New Roman" w:ascii="Times New Roman"/>
          <w:szCs w:val="24"/>
        </w:rPr>
        <w:t xml:space="preserve">DNA: </w:t>
      </w:r>
    </w:p>
    <w:p w:rsidRDefault="00D426BD" w:rsidP="00D426BD" w:rsidR="00D426BD">
      <w:pPr>
        <w:numPr>
          <w:ilvl w:val="0"/>
          <w:numId w:val="5"/>
        </w:numPr>
        <w:tabs>
          <w:tab w:pos="360" w:val="clear"/>
          <w:tab w:pos="1134" w:val="num"/>
        </w:tabs>
        <w:ind w:left="1068"/>
        <w:jc w:val="both"/>
        <w:rPr>
          <w:rFonts w:cs="Times New Roman" w:hAnsi="Times New Roman" w:ascii="Times New Roman"/>
          <w:szCs w:val="24"/>
        </w:rPr>
      </w:pPr>
      <w:r>
        <w:rPr>
          <w:rFonts w:cs="Times New Roman" w:hAnsi="Times New Roman" w:ascii="Times New Roman"/>
          <w:szCs w:val="24"/>
        </w:rPr>
        <w:t>Stečajni upravitelj Ivan Hudoletnjak iz Ivanca, Jezerski put 26</w:t>
      </w:r>
    </w:p>
    <w:p w:rsidRDefault="00D426BD" w:rsidP="00D426BD" w:rsidR="00D426BD">
      <w:pPr>
        <w:numPr>
          <w:ilvl w:val="0"/>
          <w:numId w:val="5"/>
        </w:numPr>
        <w:tabs>
          <w:tab w:pos="360" w:val="clear"/>
          <w:tab w:pos="1134" w:val="num"/>
        </w:tabs>
        <w:ind w:left="1068"/>
        <w:jc w:val="both"/>
        <w:rPr>
          <w:rFonts w:cs="Times New Roman" w:hAnsi="Times New Roman" w:ascii="Times New Roman"/>
          <w:szCs w:val="24"/>
        </w:rPr>
      </w:pPr>
      <w:r>
        <w:rPr>
          <w:rFonts w:cs="Times New Roman" w:hAnsi="Times New Roman" w:ascii="Times New Roman"/>
          <w:szCs w:val="24"/>
        </w:rPr>
        <w:t>Stečajna oglasna ploča suda</w:t>
      </w:r>
    </w:p>
    <w:p w:rsidRDefault="00D426BD" w:rsidP="00D426BD" w:rsidR="00D426BD">
      <w:pPr>
        <w:ind w:left="1068"/>
        <w:jc w:val="both"/>
        <w:rPr>
          <w:rFonts w:cs="Times New Roman" w:hAnsi="Times New Roman" w:ascii="Times New Roman"/>
          <w:szCs w:val="24"/>
        </w:rPr>
      </w:pPr>
    </w:p>
    <w:p w:rsidRDefault="00D426BD" w:rsidP="00D426BD" w:rsidR="00D426BD">
      <w:pPr>
        <w:ind w:left="1068"/>
        <w:jc w:val="both"/>
        <w:rPr>
          <w:rFonts w:cs="Times New Roman" w:hAnsi="Times New Roman" w:ascii="Times New Roman"/>
          <w:szCs w:val="24"/>
        </w:rPr>
      </w:pPr>
    </w:p>
    <w:p w:rsidRDefault="00D426BD" w:rsidP="00D426BD" w:rsidR="00D426BD">
      <w:pPr>
        <w:rPr>
          <w:rFonts w:cs="Times New Roman" w:hAnsi="Times New Roman" w:ascii="Times New Roman"/>
        </w:rPr>
      </w:pPr>
    </w:p>
    <w:p w:rsidRDefault="00D426BD" w:rsidP="00D426BD" w:rsidR="00D426BD">
      <w:pPr>
        <w:jc w:val="both"/>
        <w:rPr>
          <w:rFonts w:cs="Times New Roman" w:hAnsi="Times New Roman" w:ascii="Times New Roman"/>
        </w:rPr>
      </w:pPr>
    </w:p>
    <w:p w:rsidRDefault="002A5030" w:rsidP="00D426BD" w:rsidR="002A5030" w:rsidRPr="00D426BD"/>
    <w:sectPr w:rsidSect="00DF63E4" w:rsidR="002A5030" w:rsidRPr="00D426BD">
      <w:headerReference w:type="default" r:id="rId12"/>
      <w:headerReference w:type="first" r:id="rId13"/>
      <w:pgSz w:h="16838" w:w="11906"/>
      <w:pgMar w:gutter="0" w:footer="708" w:header="708" w:left="1276" w:bottom="1418"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720E" w:rsidP="007B720E" w:rsidR="007B720E">
      <w:r>
        <w:separator/>
      </w:r>
    </w:p>
  </w:endnote>
  <w:endnote w:id="0" w:type="continuationSeparator">
    <w:p w:rsidRDefault="007B720E" w:rsidP="007B720E" w:rsidR="007B72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720E" w:rsidP="007B720E" w:rsidR="007B720E">
      <w:r>
        <w:separator/>
      </w:r>
    </w:p>
  </w:footnote>
  <w:footnote w:id="0" w:type="continuationSeparator">
    <w:p w:rsidRDefault="007B720E" w:rsidP="007B720E" w:rsidR="007B72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7656"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D426BD">
      <w:rPr>
        <w:rFonts w:cs="Times New Roman" w:hAnsi="Times New Roman" w:ascii="Times New Roman"/>
        <w:noProof/>
        <w:szCs w:val="24"/>
      </w:rPr>
      <w:t>2</w:t>
    </w:r>
    <w:r w:rsidRPr="00B32871">
      <w:rPr>
        <w:rFonts w:cs="Times New Roman" w:hAnsi="Times New Roman" w:ascii="Times New Roman"/>
        <w:szCs w:val="24"/>
      </w:rPr>
      <w:fldChar w:fldCharType="end"/>
    </w:r>
  </w:p>
  <w:p w:rsidRDefault="004C7656" w:rsidP="00A53433" w:rsidR="00A53433" w:rsidRPr="00555981">
    <w:pPr>
      <w:pStyle w:val="Zaglavlje"/>
      <w:jc w:val="right"/>
      <w:rPr>
        <w:rFonts w:cs="Times New Roman" w:hAnsi="Times New Roman" w:ascii="Times New Roman"/>
        <w:color w:val="FF0000"/>
      </w:rPr>
    </w:pPr>
    <w:r>
      <w:rPr>
        <w:rFonts w:cs="Times New Roman" w:hAnsi="Times New Roman" w:ascii="Times New Roman"/>
      </w:rPr>
      <w:tab/>
    </w:r>
    <w:r>
      <w:rPr>
        <w:rFonts w:cs="Times New Roman" w:hAnsi="Times New Roman" w:ascii="Times New Roman"/>
      </w:rPr>
      <w:tab/>
    </w:r>
    <w:r w:rsidR="00A53433" w:rsidRPr="005D4FE6">
      <w:rPr>
        <w:rFonts w:cs="Times New Roman" w:hAnsi="Times New Roman" w:ascii="Times New Roman"/>
      </w:rPr>
      <w:t xml:space="preserve">Poslovni broj: 4 </w:t>
    </w:r>
    <w:r w:rsidR="00A53433">
      <w:rPr>
        <w:rFonts w:cs="Times New Roman" w:hAnsi="Times New Roman" w:ascii="Times New Roman"/>
      </w:rPr>
      <w:t>St-75/17-10</w:t>
    </w:r>
  </w:p>
  <w:p w:rsidRDefault="00D426BD" w:rsidP="00CC1351" w:rsidR="00AB2EF5">
    <w:pPr>
      <w:pStyle w:val="Zaglavlje"/>
      <w:jc w:val="right"/>
      <w:rPr>
        <w:rFonts w:cs="Times New Roman" w:hAnsi="Times New Roman" w:ascii="Times New Roman"/>
      </w:rPr>
    </w:pPr>
  </w:p>
  <w:p w:rsidRDefault="00D426BD" w:rsidR="00AB2EF5" w:rsidRPr="00B32871">
    <w:pPr>
      <w:pStyle w:val="Zaglavlje"/>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26BD" w:rsidP="00AB2EF5" w:rsidR="00AB2EF5">
    <w:pPr>
      <w:pStyle w:val="Zaglavlje"/>
      <w:jc w:val="right"/>
      <w:rPr>
        <w:rFonts w:cs="Times New Roman" w:hAnsi="Times New Roman" w:ascii="Times New Roman"/>
      </w:rPr>
    </w:pPr>
  </w:p>
  <w:p w:rsidRDefault="00D426BD" w:rsidP="00AB2EF5" w:rsidR="00AB2EF5">
    <w:pPr>
      <w:pStyle w:val="Zaglavlje"/>
      <w:jc w:val="right"/>
      <w:rPr>
        <w:rFonts w:cs="Times New Roman" w:hAnsi="Times New Roman" w:ascii="Times New Roman"/>
      </w:rPr>
    </w:pPr>
  </w:p>
  <w:p w:rsidRDefault="004C7656" w:rsidP="00AB2EF5" w:rsidR="00AB2EF5" w:rsidRPr="00555981">
    <w:pPr>
      <w:pStyle w:val="Zaglavlje"/>
      <w:jc w:val="right"/>
      <w:rPr>
        <w:rFonts w:cs="Times New Roman" w:hAnsi="Times New Roman" w:ascii="Times New Roman"/>
        <w:color w:val="FF0000"/>
      </w:rPr>
    </w:pPr>
    <w:r w:rsidRPr="005D4FE6">
      <w:rPr>
        <w:rFonts w:cs="Times New Roman" w:hAnsi="Times New Roman" w:ascii="Times New Roman"/>
      </w:rPr>
      <w:t xml:space="preserve">Poslovni broj: 4 </w:t>
    </w:r>
    <w:r w:rsidR="00792506">
      <w:rPr>
        <w:rFonts w:cs="Times New Roman" w:hAnsi="Times New Roman" w:ascii="Times New Roman"/>
      </w:rPr>
      <w:t>St-</w:t>
    </w:r>
    <w:r w:rsidR="00A53433">
      <w:rPr>
        <w:rFonts w:cs="Times New Roman" w:hAnsi="Times New Roman" w:ascii="Times New Roman"/>
      </w:rPr>
      <w:t>75/17-10</w:t>
    </w:r>
  </w:p>
  <w:p w:rsidRDefault="00D426BD" w:rsidP="00AB2EF5" w:rsidR="00AB2EF5" w:rsidRPr="005D4FE6">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1"/>
  </w:num>
  <w:num w:numId="9">
    <w:abstractNumId w:val="6"/>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6BD9"/>
    <w:rsid w:val="00020BB2"/>
    <w:rsid w:val="00033A76"/>
    <w:rsid w:val="001F1134"/>
    <w:rsid w:val="002A46A9"/>
    <w:rsid w:val="002A5030"/>
    <w:rsid w:val="002D202E"/>
    <w:rsid w:val="00366CF2"/>
    <w:rsid w:val="003E21D5"/>
    <w:rsid w:val="00416C1A"/>
    <w:rsid w:val="004C7656"/>
    <w:rsid w:val="00555981"/>
    <w:rsid w:val="005A1F13"/>
    <w:rsid w:val="005D2EBA"/>
    <w:rsid w:val="00615A42"/>
    <w:rsid w:val="006935ED"/>
    <w:rsid w:val="006F654E"/>
    <w:rsid w:val="007829A3"/>
    <w:rsid w:val="00792506"/>
    <w:rsid w:val="007B6771"/>
    <w:rsid w:val="007B720E"/>
    <w:rsid w:val="008130CF"/>
    <w:rsid w:val="008D286E"/>
    <w:rsid w:val="00976484"/>
    <w:rsid w:val="00A51EB4"/>
    <w:rsid w:val="00A53433"/>
    <w:rsid w:val="00AC6BD9"/>
    <w:rsid w:val="00B03EDE"/>
    <w:rsid w:val="00B672B0"/>
    <w:rsid w:val="00BA1FF0"/>
    <w:rsid w:val="00C95B6C"/>
    <w:rsid w:val="00CE3F93"/>
    <w:rsid w:val="00D426BD"/>
    <w:rsid w:val="00D466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1EB4"/>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A51EB4"/>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A51EB4"/>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A51EB4"/>
    <w:pPr>
      <w:tabs>
        <w:tab w:pos="4536" w:val="center"/>
        <w:tab w:pos="9072" w:val="right"/>
      </w:tabs>
    </w:pPr>
  </w:style>
  <w:style w:customStyle="true" w:styleId="ZaglavljeChar" w:type="character">
    <w:name w:val="Zaglavlje Char"/>
    <w:basedOn w:val="Zadanifontodlomka"/>
    <w:link w:val="Zaglavlje"/>
    <w:uiPriority w:val="99"/>
    <w:rsid w:val="00A51EB4"/>
    <w:rPr>
      <w:rFonts w:cs="Arial" w:eastAsia="Times New Roman" w:hAnsi="Cambria Math" w:ascii="Cambria Math"/>
      <w:sz w:val="24"/>
      <w:szCs w:val="20"/>
    </w:rPr>
  </w:style>
  <w:style w:styleId="Odlomakpopisa" w:type="paragraph">
    <w:name w:val="List Paragraph"/>
    <w:basedOn w:val="Normal"/>
    <w:link w:val="OdlomakpopisaChar"/>
    <w:uiPriority w:val="34"/>
    <w:qFormat/>
    <w:rsid w:val="00A51EB4"/>
    <w:pPr>
      <w:ind w:left="720"/>
      <w:contextualSpacing/>
    </w:pPr>
  </w:style>
  <w:style w:styleId="Podnoje" w:type="paragraph">
    <w:name w:val="footer"/>
    <w:basedOn w:val="Normal"/>
    <w:link w:val="PodnojeChar"/>
    <w:uiPriority w:val="99"/>
    <w:unhideWhenUsed/>
    <w:rsid w:val="00A51EB4"/>
    <w:pPr>
      <w:tabs>
        <w:tab w:pos="4536" w:val="center"/>
        <w:tab w:pos="9072" w:val="right"/>
      </w:tabs>
    </w:pPr>
  </w:style>
  <w:style w:customStyle="true" w:styleId="PodnojeChar" w:type="character">
    <w:name w:val="Podnožje Char"/>
    <w:basedOn w:val="Zadanifontodlomka"/>
    <w:link w:val="Podnoje"/>
    <w:uiPriority w:val="99"/>
    <w:rsid w:val="00A51EB4"/>
    <w:rPr>
      <w:rFonts w:cs="Arial" w:eastAsia="Times New Roman" w:hAnsi="Cambria Math" w:ascii="Cambria Math"/>
      <w:sz w:val="24"/>
      <w:szCs w:val="20"/>
    </w:rPr>
  </w:style>
  <w:style w:styleId="Reetkatablice" w:type="table">
    <w:name w:val="Table Grid"/>
    <w:basedOn w:val="Obinatablica"/>
    <w:uiPriority w:val="59"/>
    <w:rsid w:val="00A51EB4"/>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A51EB4"/>
    <w:rPr>
      <w:rFonts w:cs="Arial" w:eastAsia="Times New Roman" w:hAnsi="Cambria Math" w:ascii="Cambria Math"/>
      <w:sz w:val="24"/>
      <w:szCs w:val="20"/>
    </w:rPr>
  </w:style>
  <w:style w:customStyle="true" w:styleId="Reetkatablice1" w:type="table">
    <w:name w:val="Rešetka tablice1"/>
    <w:basedOn w:val="Obinatablica"/>
    <w:next w:val="Reetkatablice"/>
    <w:uiPriority w:val="59"/>
    <w:rsid w:val="001F1134"/>
    <w:pPr>
      <w:spacing w:lineRule="auto" w:line="240" w:after="0"/>
    </w:pPr>
    <w:rPr>
      <w:rFonts w:cs="Times New Roman" w:eastAsia="Calibri" w:hAnsi="Calibri" w:ascii="Calibri"/>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E21D5"/>
    <w:rPr>
      <w:color w:val="808080"/>
      <w:bdr w:space="0" w:sz="0" w:color="auto" w:val="none"/>
      <w:shd w:fill="auto" w:color="auto" w:val="clear"/>
    </w:rPr>
  </w:style>
  <w:style w:customStyle="true" w:styleId="eSPISCCParagraphDefaultFont" w:type="character">
    <w:name w:val="eSPIS_CC_Paragraph Default Font"/>
    <w:basedOn w:val="Zadanifontodlomka"/>
    <w:rsid w:val="003E21D5"/>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3E21D5"/>
    <w:rPr>
      <w:rFonts w:cs="Times New Roman"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3E21D5"/>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E21D5"/>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1EB4"/>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A51EB4"/>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A51EB4"/>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A51EB4"/>
    <w:pPr>
      <w:tabs>
        <w:tab w:pos="4536" w:val="center"/>
        <w:tab w:pos="9072" w:val="right"/>
      </w:tabs>
    </w:pPr>
  </w:style>
  <w:style w:customStyle="1" w:styleId="ZaglavljeChar" w:type="character">
    <w:name w:val="Zaglavlje Char"/>
    <w:basedOn w:val="Zadanifontodlomka"/>
    <w:link w:val="Zaglavlje"/>
    <w:uiPriority w:val="99"/>
    <w:rsid w:val="00A51EB4"/>
    <w:rPr>
      <w:rFonts w:ascii="Cambria Math" w:cs="Arial" w:eastAsia="Times New Roman" w:hAnsi="Cambria Math"/>
      <w:sz w:val="24"/>
      <w:szCs w:val="20"/>
    </w:rPr>
  </w:style>
  <w:style w:styleId="Odlomakpopisa" w:type="paragraph">
    <w:name w:val="List Paragraph"/>
    <w:basedOn w:val="Normal"/>
    <w:link w:val="OdlomakpopisaChar"/>
    <w:uiPriority w:val="34"/>
    <w:qFormat/>
    <w:rsid w:val="00A51EB4"/>
    <w:pPr>
      <w:ind w:left="720"/>
      <w:contextualSpacing/>
    </w:pPr>
  </w:style>
  <w:style w:styleId="Podnoje" w:type="paragraph">
    <w:name w:val="footer"/>
    <w:basedOn w:val="Normal"/>
    <w:link w:val="PodnojeChar"/>
    <w:uiPriority w:val="99"/>
    <w:unhideWhenUsed/>
    <w:rsid w:val="00A51EB4"/>
    <w:pPr>
      <w:tabs>
        <w:tab w:pos="4536" w:val="center"/>
        <w:tab w:pos="9072" w:val="right"/>
      </w:tabs>
    </w:pPr>
  </w:style>
  <w:style w:customStyle="1" w:styleId="PodnojeChar" w:type="character">
    <w:name w:val="Podnožje Char"/>
    <w:basedOn w:val="Zadanifontodlomka"/>
    <w:link w:val="Podnoje"/>
    <w:uiPriority w:val="99"/>
    <w:rsid w:val="00A51EB4"/>
    <w:rPr>
      <w:rFonts w:ascii="Cambria Math" w:cs="Arial" w:eastAsia="Times New Roman" w:hAnsi="Cambria Math"/>
      <w:sz w:val="24"/>
      <w:szCs w:val="20"/>
    </w:rPr>
  </w:style>
  <w:style w:styleId="Reetkatablice" w:type="table">
    <w:name w:val="Table Grid"/>
    <w:basedOn w:val="Obinatablica"/>
    <w:uiPriority w:val="59"/>
    <w:rsid w:val="00A51EB4"/>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A51EB4"/>
    <w:rPr>
      <w:rFonts w:ascii="Cambria Math" w:cs="Arial" w:eastAsia="Times New Roman" w:hAnsi="Cambria Math"/>
      <w:sz w:val="24"/>
      <w:szCs w:val="20"/>
    </w:rPr>
  </w:style>
  <w:style w:customStyle="1" w:styleId="Reetkatablice1" w:type="table">
    <w:name w:val="Rešetka tablice1"/>
    <w:basedOn w:val="Obinatablica"/>
    <w:next w:val="Reetkatablice"/>
    <w:uiPriority w:val="59"/>
    <w:rsid w:val="001F1134"/>
    <w:pPr>
      <w:spacing w:after="0" w:line="240" w:lineRule="auto"/>
    </w:pPr>
    <w:rPr>
      <w:rFonts w:ascii="Calibri" w:cs="Times New Roman" w:eastAsia="Calibri" w:hAnsi="Calibri"/>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E21D5"/>
    <w:rPr>
      <w:color w:val="808080"/>
      <w:bdr w:color="auto" w:space="0" w:sz="0" w:val="none"/>
      <w:shd w:color="auto" w:fill="auto" w:val="clear"/>
    </w:rPr>
  </w:style>
  <w:style w:customStyle="1" w:styleId="eSPISCCParagraphDefaultFont" w:type="character">
    <w:name w:val="eSPIS_CC_Paragraph Default Font"/>
    <w:basedOn w:val="Zadanifontodlomka"/>
    <w:rsid w:val="003E21D5"/>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3E21D5"/>
    <w:rPr>
      <w:rFonts w:ascii="Times New Roman" w:cs="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3E21D5"/>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3E21D5"/>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94152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upload.wikimedia.org/wikipedia/commons/thumb/c/c9/Coat_of_arms_of_Croatia.svg/220px-Coat_of_arms_of_Croatia.svg.pn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hr.wikipedia.org/wiki/Datoteka:Coat_of_arms_of_Croatia.svg"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St-75/2017-10</izvorni_sadrzaj>
    <derivirana_varijabla naziv="DomainObject.Oznaka_1">St-75/2017-10</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2017.</izvorni_sadrzaj>
    <derivirana_varijabla naziv="DomainObject.Predmet.DatumOsnivanja_1">9.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nastavak postupka  naknadno pronađena imovina st. mase</izvorni_sadrzaj>
    <derivirana_varijabla naziv="DomainObject.Predmet.Opis_1">prijedlog za nastavak postupka  naknadno pronađena imovina st.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St-75/2017</izvorni_sadrzaj>
    <derivirana_varijabla naziv="DomainObject.Predmet.OznakaBroj_1">St-75/2017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 UPRAVITELJ u St-1009/15 IVAN HUDOLETNJAK</izvorni_sadrzaj>
    <derivirana_varijabla naziv="DomainObject.Predmet.PrimjedbaSuca_1">ST. UPRAVITELJ u St-1009/15 IVAN HUDOLETNJAK</derivirana_varijabla>
  </DomainObject.Predmet.PrimjedbaSuca>
  <DomainObject.Predmet.ProtustrankaFormated>
    <izvorni_sadrzaj>  Stečajna masa iza VICTORIA društvo s ograničenom odgovornošću za prijevoz i usluge u stečaju</izvorni_sadrzaj>
    <derivirana_varijabla naziv="DomainObject.Predmet.ProtustrankaFormated_1">  Stečajna masa iza VICTORIA društvo s ograničenom odgovornošću za prijevoz i usluge u stečaju</derivirana_varijabla>
  </DomainObject.Predmet.ProtustrankaFormated>
  <DomainObject.Predmet.ProtustrankaFormatedOIB>
    <izvorni_sadrzaj>  Stečajna masa iza VICTORIA društvo s ograničenom odgovornošću za prijevoz i usluge u stečaju, OIB 49567088170</izvorni_sadrzaj>
    <derivirana_varijabla naziv="DomainObject.Predmet.ProtustrankaFormatedOIB_1">  Stečajna masa iza VICTORIA društvo s ograničenom odgovornošću za prijevoz i usluge u stečaju, OIB 49567088170</derivirana_varijabla>
  </DomainObject.Predmet.ProtustrankaFormatedOIB>
  <DomainObject.Predmet.ProtustrankaFormatedWithAdress>
    <izvorni_sadrzaj> Stečajna masa iza VICTORIA društvo s ograničenom odgovornošću za prijevoz i usluge u stečaju, Jezerski put 26, 42240 Ivanec</izvorni_sadrzaj>
    <derivirana_varijabla naziv="DomainObject.Predmet.ProtustrankaFormatedWithAdress_1"> Stečajna masa iza VICTORIA društvo s ograničenom odgovornošću za prijevoz i usluge u stečaju, Jezerski put 26, 42240 Ivanec</derivirana_varijabla>
  </DomainObject.Predmet.ProtustrankaFormatedWithAdress>
  <DomainObject.Predmet.ProtustrankaFormatedWithAdressOIB>
    <izvorni_sadrzaj> Stečajna masa iza VICTORIA društvo s ograničenom odgovornošću za prijevoz i usluge u stečaju, OIB 49567088170, Jezerski put 26, 42240 Ivanec</izvorni_sadrzaj>
    <derivirana_varijabla naziv="DomainObject.Predmet.ProtustrankaFormatedWithAdressOIB_1"> Stečajna masa iza VICTORIA društvo s ograničenom odgovornošću za prijevoz i usluge u stečaju, OIB 49567088170, Jezerski put 26, 42240 Ivanec</derivirana_varijabla>
  </DomainObject.Predmet.ProtustrankaFormatedWithAdressOIB>
  <DomainObject.Predmet.ProtustrankaWithAdress>
    <izvorni_sadrzaj>Stečajna masa iza VICTORIA društvo s ograničenom odgovornošću za prijevoz i usluge u stečaju Jezerski put 26, 42240 Ivanec</izvorni_sadrzaj>
    <derivirana_varijabla naziv="DomainObject.Predmet.ProtustrankaWithAdress_1">Stečajna masa iza VICTORIA društvo s ograničenom odgovornošću za prijevoz i usluge u stečaju Jezerski put 26, 42240 Ivanec</derivirana_varijabla>
  </DomainObject.Predmet.ProtustrankaWithAdress>
  <DomainObject.Predmet.ProtustrankaWithAdressOIB>
    <izvorni_sadrzaj>Stečajna masa iza VICTORIA društvo s ograničenom odgovornošću za prijevoz i usluge u stečaju, OIB 49567088170, Jezerski put 26, 42240 Ivanec</izvorni_sadrzaj>
    <derivirana_varijabla naziv="DomainObject.Predmet.ProtustrankaWithAdressOIB_1">Stečajna masa iza VICTORIA društvo s ograničenom odgovornošću za prijevoz i usluge u stečaju, OIB 49567088170, Jezerski put 26, 42240 Ivanec</derivirana_varijabla>
  </DomainObject.Predmet.ProtustrankaWithAdressOIB>
  <DomainObject.Predmet.ProtustrankaNazivFormated>
    <izvorni_sadrzaj>Stečajna masa iza VICTORIA društvo s ograničenom odgovornošću za prijevoz i usluge u stečaju</izvorni_sadrzaj>
    <derivirana_varijabla naziv="DomainObject.Predmet.ProtustrankaNazivFormated_1">Stečajna masa iza VICTORIA društvo s ograničenom odgovornošću za prijevoz i usluge u stečaju</derivirana_varijabla>
  </DomainObject.Predmet.ProtustrankaNazivFormated>
  <DomainObject.Predmet.ProtustrankaNazivFormatedOIB>
    <izvorni_sadrzaj>Stečajna masa iza VICTORIA društvo s ograničenom odgovornošću za prijevoz i usluge u stečaju, OIB 49567088170</izvorni_sadrzaj>
    <derivirana_varijabla naziv="DomainObject.Predmet.ProtustrankaNazivFormatedOIB_1">Stečajna masa iza VICTORIA društvo s ograničenom odgovornošću za prijevoz i usluge u stečaju, OIB 49567088170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Hudoletnjak</izvorni_sadrzaj>
    <derivirana_varijabla naziv="DomainObject.Predmet.StrankaFormated_1">  Ivan Hudoletnjak</derivirana_varijabla>
  </DomainObject.Predmet.StrankaFormated>
  <DomainObject.Predmet.StrankaFormatedOIB>
    <izvorni_sadrzaj>  Ivan Hudoletnjak, OIB 80924395653</izvorni_sadrzaj>
    <derivirana_varijabla naziv="DomainObject.Predmet.StrankaFormatedOIB_1">  Ivan Hudoletnjak, OIB 80924395653</derivirana_varijabla>
  </DomainObject.Predmet.StrankaFormatedOIB>
  <DomainObject.Predmet.StrankaFormatedWithAdress>
    <izvorni_sadrzaj> Ivan Hudoletnjak, Ulica Jezerski Put 26, 42240 Ivanec</izvorni_sadrzaj>
    <derivirana_varijabla naziv="DomainObject.Predmet.StrankaFormatedWithAdress_1"> Ivan Hudoletnjak, Ulica Jezerski Put 26, 42240 Ivanec</derivirana_varijabla>
  </DomainObject.Predmet.StrankaFormatedWithAdress>
  <DomainObject.Predmet.StrankaFormatedWithAdressOIB>
    <izvorni_sadrzaj> Ivan Hudoletnjak, OIB 80924395653, Ulica Jezerski Put 26, 42240 Ivanec</izvorni_sadrzaj>
    <derivirana_varijabla naziv="DomainObject.Predmet.StrankaFormatedWithAdressOIB_1"> Ivan Hudoletnjak, OIB 80924395653, Ulica Jezerski Put 26, 42240 Ivanec</derivirana_varijabla>
  </DomainObject.Predmet.StrankaFormatedWithAdressOIB>
  <DomainObject.Predmet.StrankaWithAdress>
    <izvorni_sadrzaj>Ivan Hudoletnjak Ulica Jezerski Put 26,42240 Ivanec</izvorni_sadrzaj>
    <derivirana_varijabla naziv="DomainObject.Predmet.StrankaWithAdress_1">Ivan Hudoletnjak Ulica Jezerski Put 26,42240 Ivanec</derivirana_varijabla>
  </DomainObject.Predmet.StrankaWithAdress>
  <DomainObject.Predmet.StrankaWithAdressOIB>
    <izvorni_sadrzaj>Ivan Hudoletnjak, OIB 80924395653, Ulica Jezerski Put 26,42240 Ivanec</izvorni_sadrzaj>
    <derivirana_varijabla naziv="DomainObject.Predmet.StrankaWithAdressOIB_1">Ivan Hudoletnjak, OIB 80924395653, Ulica Jezerski Put 26,42240 Ivanec</derivirana_varijabla>
  </DomainObject.Predmet.StrankaWithAdressOIB>
  <DomainObject.Predmet.StrankaNazivFormated>
    <izvorni_sadrzaj>Ivan Hudoletnjak</izvorni_sadrzaj>
    <derivirana_varijabla naziv="DomainObject.Predmet.StrankaNazivFormated_1">Ivan Hudoletnjak</derivirana_varijabla>
  </DomainObject.Predmet.StrankaNazivFormated>
  <DomainObject.Predmet.StrankaNazivFormatedOIB>
    <izvorni_sadrzaj>Ivan Hudoletnjak, OIB 80924395653</izvorni_sadrzaj>
    <derivirana_varijabla naziv="DomainObject.Predmet.StrankaNazivFormatedOIB_1">Ivan Hudoletnjak, OIB 80924395653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Ivan Hudoletnjak</item>
    </izvorni_sadrzaj>
    <derivirana_varijabla naziv="DomainObject.Predmet.StrankaListFormated_1">
      <item>Ivan Hudoletnjak</item>
    </derivirana_varijabla>
  </DomainObject.Predmet.StrankaListFormated>
  <DomainObject.Predmet.StrankaListFormatedOIB>
    <izvorni_sadrzaj>
      <item>Ivan Hudoletnjak, OIB 80924395653</item>
    </izvorni_sadrzaj>
    <derivirana_varijabla naziv="DomainObject.Predmet.StrankaListFormatedOIB_1">
      <item>Ivan Hudoletnjak, OIB 80924395653</item>
    </derivirana_varijabla>
  </DomainObject.Predmet.StrankaListFormatedOIB>
  <DomainObject.Predmet.StrankaListFormatedWithAdress>
    <izvorni_sadrzaj>
      <item>Ivan Hudoletnjak, Ulica Jezerski Put 26, 42240 Ivanec</item>
    </izvorni_sadrzaj>
    <derivirana_varijabla naziv="DomainObject.Predmet.StrankaListFormatedWithAdress_1">
      <item>Ivan Hudoletnjak, Ulica Jezerski Put 26, 42240 Ivanec</item>
    </derivirana_varijabla>
  </DomainObject.Predmet.StrankaListFormatedWithAdress>
  <DomainObject.Predmet.StrankaListFormatedWithAdressOIB>
    <izvorni_sadrzaj>
      <item>Ivan Hudoletnjak, OIB 80924395653, Ulica Jezerski Put 26, 42240 Ivanec</item>
    </izvorni_sadrzaj>
    <derivirana_varijabla naziv="DomainObject.Predmet.StrankaListFormatedWithAdressOIB_1">
      <item>Ivan Hudoletnjak, OIB 80924395653, Ulica Jezerski Put 26, 42240 Ivanec</item>
    </derivirana_varijabla>
  </DomainObject.Predmet.StrankaListFormatedWithAdressOIB>
  <DomainObject.Predmet.StrankaListNazivFormated>
    <izvorni_sadrzaj>
      <item>Ivan Hudoletnjak</item>
    </izvorni_sadrzaj>
    <derivirana_varijabla naziv="DomainObject.Predmet.StrankaListNazivFormated_1">
      <item>Ivan Hudoletnjak</item>
    </derivirana_varijabla>
  </DomainObject.Predmet.StrankaListNazivFormated>
  <DomainObject.Predmet.StrankaListNazivFormatedOIB>
    <izvorni_sadrzaj>
      <item>Ivan Hudoletnjak, OIB 80924395653</item>
    </izvorni_sadrzaj>
    <derivirana_varijabla naziv="DomainObject.Predmet.StrankaListNazivFormatedOIB_1">
      <item>Ivan Hudoletnjak, OIB 80924395653</item>
    </derivirana_varijabla>
  </DomainObject.Predmet.StrankaListNazivFormatedOIB>
  <DomainObject.Predmet.ProtuStrankaListFormated>
    <izvorni_sadrzaj>
      <item>Stečajna masa iza VICTORIA društvo s ograničenom odgovornošću za prijevoz i usluge u stečaju</item>
    </izvorni_sadrzaj>
    <derivirana_varijabla naziv="DomainObject.Predmet.ProtuStrankaListFormated_1">
      <item>Stečajna masa iza VICTORIA društvo s ograničenom odgovornošću za prijevoz i usluge u stečaju</item>
    </derivirana_varijabla>
  </DomainObject.Predmet.ProtuStrankaListFormated>
  <DomainObject.Predmet.ProtuStrankaListFormatedOIB>
    <izvorni_sadrzaj>
      <item>Stečajna masa iza VICTORIA društvo s ograničenom odgovornošću za prijevoz i usluge u stečaju, OIB 49567088170</item>
    </izvorni_sadrzaj>
    <derivirana_varijabla naziv="DomainObject.Predmet.ProtuStrankaListFormatedOIB_1">
      <item>Stečajna masa iza VICTORIA društvo s ograničenom odgovornošću za prijevoz i usluge u stečaju, OIB 49567088170</item>
    </derivirana_varijabla>
  </DomainObject.Predmet.ProtuStrankaListFormatedOIB>
  <DomainObject.Predmet.ProtuStrankaListFormatedWithAdress>
    <izvorni_sadrzaj>
      <item>Stečajna masa iza VICTORIA društvo s ograničenom odgovornošću za prijevoz i usluge u stečaju, Jezerski put 26, 42240 Ivanec</item>
    </izvorni_sadrzaj>
    <derivirana_varijabla naziv="DomainObject.Predmet.ProtuStrankaListFormatedWithAdress_1">
      <item>Stečajna masa iza VICTORIA društvo s ograničenom odgovornošću za prijevoz i usluge u stečaju, Jezerski put 26, 42240 Ivanec</item>
    </derivirana_varijabla>
  </DomainObject.Predmet.ProtuStrankaListFormatedWithAdress>
  <DomainObject.Predmet.ProtuStrankaListFormatedWithAdressOIB>
    <izvorni_sadrzaj>
      <item>Stečajna masa iza VICTORIA društvo s ograničenom odgovornošću za prijevoz i usluge u stečaju, OIB 49567088170, Jezerski put 26, 42240 Ivanec</item>
    </izvorni_sadrzaj>
    <derivirana_varijabla naziv="DomainObject.Predmet.ProtuStrankaListFormatedWithAdressOIB_1">
      <item>Stečajna masa iza VICTORIA društvo s ograničenom odgovornošću za prijevoz i usluge u stečaju, OIB 49567088170, Jezerski put 26, 42240 Ivanec</item>
    </derivirana_varijabla>
  </DomainObject.Predmet.ProtuStrankaListFormatedWithAdressOIB>
  <DomainObject.Predmet.ProtuStrankaListNazivFormated>
    <izvorni_sadrzaj>
      <item>Stečajna masa iza VICTORIA društvo s ograničenom odgovornošću za prijevoz i usluge u stečaju</item>
    </izvorni_sadrzaj>
    <derivirana_varijabla naziv="DomainObject.Predmet.ProtuStrankaListNazivFormated_1">
      <item>Stečajna masa iza VICTORIA društvo s ograničenom odgovornošću za prijevoz i usluge u stečaju</item>
    </derivirana_varijabla>
  </DomainObject.Predmet.ProtuStrankaListNazivFormated>
  <DomainObject.Predmet.ProtuStrankaListNazivFormatedOIB>
    <izvorni_sadrzaj>
      <item>Stečajna masa iza VICTORIA društvo s ograničenom odgovornošću za prijevoz i usluge u stečaju, OIB 49567088170</item>
    </izvorni_sadrzaj>
    <derivirana_varijabla naziv="DomainObject.Predmet.ProtuStrankaListNazivFormatedOIB_1">
      <item>Stečajna masa iza VICTORIA društvo s ograničenom odgovornošću za prijevoz i usluge u stečaju, OIB 49567088170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St-75/2017-10</izvorni_sadrzaj>
    <derivirana_varijabla naziv="DomainObject.PoslovniBrojDokumenta_1">St-75/2017-10</derivirana_varijabla>
  </DomainObject.PoslovniBrojDokumenta>
  <DomainObject.Predmet.StrankaIDrugi>
    <izvorni_sadrzaj>Ivan Hudoletnjak</izvorni_sadrzaj>
    <derivirana_varijabla naziv="DomainObject.Predmet.StrankaIDrugi_1">Ivan Hudoletnjak</derivirana_varijabla>
  </DomainObject.Predmet.StrankaIDrugi>
  <DomainObject.Predmet.ProtustrankaIDrugi>
    <izvorni_sadrzaj>Stečajna masa iza VICTORIA društvo s ograničenom odgovornošću za prijevoz i usluge u stečaju</izvorni_sadrzaj>
    <derivirana_varijabla naziv="DomainObject.Predmet.ProtustrankaIDrugi_1">Stečajna masa iza VICTORIA društvo s ograničenom odgovornošću za prijevoz i usluge u stečaju</derivirana_varijabla>
  </DomainObject.Predmet.ProtustrankaIDrugi>
  <DomainObject.Predmet.StrankaIDrugiAdressOIB>
    <izvorni_sadrzaj>Ivan Hudoletnjak, OIB 80924395653, Ulica Jezerski Put 26, 42240 Ivanec</izvorni_sadrzaj>
    <derivirana_varijabla naziv="DomainObject.Predmet.StrankaIDrugiAdressOIB_1">Ivan Hudoletnjak, OIB 80924395653, Ulica Jezerski Put 26, 42240 Ivanec</derivirana_varijabla>
  </DomainObject.Predmet.StrankaIDrugiAdressOIB>
  <DomainObject.Predmet.ProtustrankaIDrugiAdressOIB>
    <izvorni_sadrzaj>Stečajna masa iza VICTORIA društvo s ograničenom odgovornošću za prijevoz i usluge u stečaju, OIB 49567088170, Jezerski put 26, 42240 Ivanec</izvorni_sadrzaj>
    <derivirana_varijabla naziv="DomainObject.Predmet.ProtustrankaIDrugiAdressOIB_1">Stečajna masa iza VICTORIA društvo s ograničenom odgovornošću za prijevoz i usluge u stečaju, OIB 49567088170, Jezerski put 26,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VICTORIA društvo s ograničenom odgovornošću za prijevoz i usluge u stečaju</item>
      <item>Ivan Hudoletnjak</item>
    </izvorni_sadrzaj>
    <derivirana_varijabla naziv="DomainObject.Predmet.SudioniciListNaziv_1">
      <item>Stečajna masa iza VICTORIA društvo s ograničenom odgovornošću za prijevoz i usluge u stečaju</item>
      <item>Ivan Hudoletnjak</item>
    </derivirana_varijabla>
  </DomainObject.Predmet.SudioniciListNaziv>
  <DomainObject.Predmet.SudioniciListAdressOIB>
    <izvorni_sadrzaj>
      <item>Stečajna masa iza VICTORIA društvo s ograničenom odgovornošću za prijevoz i usluge u stečaju, OIB 49567088170, Jezerski put 26,42240 Ivanec</item>
      <item>Ivan Hudoletnjak, OIB 80924395653, Ulica Jezerski Put 26,42240 Ivanec</item>
    </izvorni_sadrzaj>
    <derivirana_varijabla naziv="DomainObject.Predmet.SudioniciListAdressOIB_1">
      <item>Stečajna masa iza VICTORIA društvo s ograničenom odgovornošću za prijevoz i usluge u stečaju, OIB 49567088170, Jezerski put 26,42240 Ivanec</item>
      <item>Ivan Hudoletnjak, OIB 80924395653, Ulica Jezerski Put 26,42240 Ivanec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49567088170</item>
      <item>, OIB 80924395653</item>
    </izvorni_sadrzaj>
    <derivirana_varijabla naziv="DomainObject.Predmet.SudioniciListNazivOIB_1">
      <item>, OIB 49567088170</item>
      <item>, OIB 80924395653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456</properties:Words>
  <properties:Characters>2483</properties:Characters>
  <properties:Lines>156</properties:Lines>
  <properties:Paragraphs>68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2017-09-15T12:08:00Z</dcterms:created>
  <dc:creator>Tihana Martinez</dc:creator>
  <cp:lastModifiedBy>Tihana Martinez</cp:lastModifiedBy>
  <cp:lastPrinted>2017-09-15T12:26:00Z</cp:lastPrinted>
  <dcterms:modified xmlns:xsi="http://www.w3.org/2001/XMLSchema-instance" xsi:type="dcterms:W3CDTF">2017-09-15T12:47:00Z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St-75/2017-10 / Odluka - Rješenje - utvrđene i osporene tražbine</vt:lpwstr>
  </prop:property>
  <prop:property name="CC_coloring" pid="4" fmtid="{D5CDD505-2E9C-101B-9397-08002B2CF9AE}">
    <vt:bool>false</vt:bool>
  </prop:property>
  <prop:property name="BrojStranica" pid="5" fmtid="{D5CDD505-2E9C-101B-9397-08002B2CF9AE}">
    <vt:i4>2</vt:i4>
  </prop:property>
</prop:Properties>
</file>