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4506" w14:paraId="0f24506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3E5DB2" w:rsidP="003E5DB2" w:rsidR="003E5DB2" w:rsidRPr="003E5DB2">
      <w:pPr>
        <w:suppressAutoHyphens/>
        <w:spacing w:after="0"/>
        <w:ind w:left="7080"/>
        <w:jc w:val="center"/>
        <w:rPr>
          <w:rFonts w:cs="Times New Roman" w:eastAsia="Times New Roman"/>
          <w:b/>
          <w:sz w:val="28"/>
          <w:szCs w:val="28"/>
          <w:lang w:eastAsia="ar-SA"/>
        </w:rPr>
      </w:pPr>
      <w:r w:rsidRPr="003E5DB2">
        <w:rPr>
          <w:rFonts w:cs="Times New Roman" w:eastAsia="Times New Roman"/>
          <w:b/>
          <w:bCs/>
          <w:lang w:eastAsia="ar-SA"/>
        </w:rPr>
        <w:t>St-</w:t>
      </w:r>
      <w:r w:rsidRPr="003E5DB2">
        <w:rPr>
          <w:rFonts w:cs="Times New Roman" w:eastAsia="Times New Roman"/>
          <w:b/>
          <w:lang w:eastAsia="ar-SA"/>
        </w:rPr>
        <w:t>175/2016</w:t>
      </w:r>
    </w:p>
    <w:p w:rsidRDefault="003E5DB2" w:rsidP="003E5DB2" w:rsidR="003E5DB2" w:rsidRPr="003E5DB2">
      <w:pPr>
        <w:suppressAutoHyphens/>
        <w:spacing w:after="0"/>
        <w:jc w:val="center"/>
        <w:rPr>
          <w:rFonts w:cs="Times New Roman" w:eastAsia="Times New Roman"/>
          <w:b/>
          <w:sz w:val="28"/>
          <w:szCs w:val="28"/>
          <w:lang w:eastAsia="ar-SA"/>
        </w:rPr>
      </w:pPr>
    </w:p>
    <w:p w:rsidRDefault="003E5DB2" w:rsidP="003E5DB2" w:rsidR="003E5DB2" w:rsidRPr="003E5DB2">
      <w:pPr>
        <w:suppressAutoHyphens/>
        <w:spacing w:after="0"/>
        <w:jc w:val="center"/>
        <w:rPr>
          <w:rFonts w:cs="Times New Roman" w:eastAsia="Times New Roman"/>
          <w:b/>
          <w:sz w:val="28"/>
          <w:szCs w:val="28"/>
          <w:lang w:eastAsia="ar-SA"/>
        </w:rPr>
      </w:pPr>
    </w:p>
    <w:p w:rsidRDefault="003E5DB2" w:rsidP="003E5DB2" w:rsidR="003E5DB2" w:rsidRPr="003E5DB2">
      <w:pPr>
        <w:suppressAutoHyphens/>
        <w:spacing w:after="0"/>
        <w:jc w:val="center"/>
        <w:rPr>
          <w:rFonts w:cs="Times New Roman" w:eastAsia="Times New Roman"/>
          <w:b/>
          <w:sz w:val="28"/>
          <w:szCs w:val="28"/>
          <w:lang w:eastAsia="ar-SA"/>
        </w:rPr>
      </w:pPr>
    </w:p>
    <w:p w:rsidRDefault="003E5DB2" w:rsidP="003E5DB2" w:rsidR="003E5DB2" w:rsidRPr="003E5DB2">
      <w:pPr>
        <w:suppressAutoHyphens/>
        <w:spacing w:after="0"/>
        <w:jc w:val="center"/>
        <w:rPr>
          <w:rFonts w:cs="Times New Roman" w:eastAsia="Times New Roman"/>
          <w:b/>
          <w:sz w:val="28"/>
          <w:szCs w:val="28"/>
          <w:lang w:eastAsia="ar-SA"/>
        </w:rPr>
      </w:pPr>
    </w:p>
    <w:p w:rsidRDefault="003E5DB2" w:rsidP="003E5DB2" w:rsidR="003E5DB2" w:rsidRPr="003E5DB2">
      <w:pPr>
        <w:suppressAutoHyphens/>
        <w:spacing w:after="0"/>
        <w:jc w:val="center"/>
        <w:rPr>
          <w:rFonts w:cs="Times New Roman" w:eastAsia="Times New Roman"/>
          <w:b/>
          <w:sz w:val="28"/>
          <w:szCs w:val="28"/>
          <w:lang w:eastAsia="ar-SA"/>
        </w:rPr>
      </w:pPr>
    </w:p>
    <w:p w:rsidRDefault="003E5DB2" w:rsidP="003E5DB2" w:rsidR="003E5DB2" w:rsidRPr="003E5DB2">
      <w:pPr>
        <w:suppressAutoHyphens/>
        <w:spacing w:after="0"/>
        <w:jc w:val="center"/>
        <w:rPr>
          <w:rFonts w:cs="Times New Roman" w:eastAsia="Times New Roman"/>
          <w:b/>
          <w:sz w:val="28"/>
          <w:szCs w:val="28"/>
          <w:lang w:eastAsia="ar-SA"/>
        </w:rPr>
      </w:pPr>
      <w:r w:rsidRPr="003E5DB2">
        <w:rPr>
          <w:rFonts w:cs="Times New Roman" w:eastAsia="Times New Roman"/>
          <w:b/>
          <w:sz w:val="28"/>
          <w:szCs w:val="28"/>
          <w:lang w:eastAsia="ar-SA"/>
        </w:rPr>
        <w:t>Izvješće o gospodarskom položaju dužnika</w:t>
      </w:r>
    </w:p>
    <w:p w:rsidRDefault="003E5DB2" w:rsidP="003E5DB2" w:rsidR="003E5DB2" w:rsidRPr="003E5DB2">
      <w:pPr>
        <w:suppressAutoHyphens/>
        <w:spacing w:after="0"/>
        <w:jc w:val="center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b/>
          <w:sz w:val="28"/>
          <w:szCs w:val="28"/>
          <w:lang w:eastAsia="ar-SA"/>
        </w:rPr>
        <w:t xml:space="preserve"> i njegovim uzrocima (čl. 227 </w:t>
      </w:r>
      <w:proofErr w:type="spellStart"/>
      <w:r w:rsidRPr="003E5DB2">
        <w:rPr>
          <w:rFonts w:cs="Times New Roman" w:eastAsia="Times New Roman"/>
          <w:b/>
          <w:sz w:val="28"/>
          <w:szCs w:val="28"/>
          <w:lang w:eastAsia="ar-SA"/>
        </w:rPr>
        <w:t>St.z</w:t>
      </w:r>
      <w:proofErr w:type="spellEnd"/>
      <w:r w:rsidRPr="003E5DB2">
        <w:rPr>
          <w:rFonts w:cs="Times New Roman" w:eastAsia="Times New Roman"/>
          <w:b/>
          <w:sz w:val="28"/>
          <w:szCs w:val="28"/>
          <w:lang w:eastAsia="ar-SA"/>
        </w:rPr>
        <w:t>.)</w:t>
      </w:r>
    </w:p>
    <w:p w:rsidRDefault="003E5DB2" w:rsidP="003E5DB2" w:rsidR="003E5DB2" w:rsidRPr="003E5DB2">
      <w:pPr>
        <w:suppressAutoHyphens/>
        <w:spacing w:after="0"/>
        <w:jc w:val="center"/>
        <w:rPr>
          <w:rFonts w:cs="Times New Roman" w:eastAsia="Times New Roman"/>
          <w:b/>
          <w:lang w:eastAsia="ar-SA"/>
        </w:rPr>
      </w:pPr>
      <w:r w:rsidRPr="003E5DB2">
        <w:rPr>
          <w:rFonts w:cs="Times New Roman" w:eastAsia="Times New Roman"/>
          <w:lang w:eastAsia="ar-SA"/>
        </w:rPr>
        <w:t>za stečajnog dužnika</w:t>
      </w:r>
    </w:p>
    <w:p w:rsidRDefault="003E5DB2" w:rsidP="003E5DB2" w:rsidR="003E5DB2" w:rsidRPr="003E5DB2">
      <w:pPr>
        <w:suppressAutoHyphens/>
        <w:spacing w:after="0"/>
        <w:jc w:val="center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b/>
          <w:lang w:eastAsia="ar-SA"/>
        </w:rPr>
        <w:t xml:space="preserve">INFO TIM d.o.o. u stečaju  </w:t>
      </w:r>
    </w:p>
    <w:p w:rsidRDefault="003E5DB2" w:rsidP="003E5DB2" w:rsidR="003E5DB2" w:rsidRPr="003E5DB2">
      <w:pPr>
        <w:suppressAutoHyphens/>
        <w:spacing w:after="0"/>
        <w:jc w:val="center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>Bjelovar, Naselja kralja Zvonimira 2/</w:t>
      </w:r>
      <w:proofErr w:type="spellStart"/>
      <w:r w:rsidRPr="003E5DB2">
        <w:rPr>
          <w:rFonts w:cs="Times New Roman" w:eastAsia="Times New Roman"/>
          <w:lang w:eastAsia="ar-SA"/>
        </w:rPr>
        <w:t>2</w:t>
      </w:r>
      <w:proofErr w:type="spellEnd"/>
    </w:p>
    <w:p w:rsidRDefault="003E5DB2" w:rsidP="003E5DB2" w:rsidR="003E5DB2" w:rsidRPr="003E5DB2">
      <w:pPr>
        <w:suppressAutoHyphens/>
        <w:spacing w:after="0"/>
        <w:jc w:val="center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jc w:val="center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jc w:val="center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 xml:space="preserve">Kako bi se utvrdio gospodarski položaj dužnika izvršen je uvid u poslovnu dokumentaciju  dužnika te dokumentaciju prispjelu uz prijave vjerovnika kao i javno dostupnu dokumentaciju, koja je podloga za popis predmeta stečajne mase. 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>Prethodno je sud utvrdio da je dužnik nesposoban za plaćanje.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>Iz dostupne dokumentacije vidljivo je da društvo ne posluje u punom obimu od 4. mjeseca 2015. godine.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b/>
          <w:lang w:eastAsia="ar-SA"/>
        </w:rPr>
      </w:pPr>
      <w:r w:rsidRPr="003E5DB2">
        <w:rPr>
          <w:rFonts w:cs="Times New Roman" w:eastAsia="Times New Roman"/>
          <w:lang w:eastAsia="ar-SA"/>
        </w:rPr>
        <w:t xml:space="preserve">Gospodarski položaj dužnika nakon otvaranja stečajnog postupka ocijenjen je i popisom imovine i njezinom procjenom (Popis predmeta stečajne mase Čl. 150 </w:t>
      </w:r>
      <w:proofErr w:type="spellStart"/>
      <w:r w:rsidRPr="003E5DB2">
        <w:rPr>
          <w:rFonts w:cs="Times New Roman" w:eastAsia="Times New Roman"/>
          <w:lang w:eastAsia="ar-SA"/>
        </w:rPr>
        <w:t>St.z</w:t>
      </w:r>
      <w:proofErr w:type="spellEnd"/>
      <w:r w:rsidRPr="003E5DB2">
        <w:rPr>
          <w:rFonts w:cs="Times New Roman" w:eastAsia="Times New Roman"/>
          <w:lang w:eastAsia="ar-SA"/>
        </w:rPr>
        <w:t xml:space="preserve">.) te popisom obveza (Popis vjerovnika (Čl. 151 </w:t>
      </w:r>
      <w:proofErr w:type="spellStart"/>
      <w:r w:rsidRPr="003E5DB2">
        <w:rPr>
          <w:rFonts w:cs="Times New Roman" w:eastAsia="Times New Roman"/>
          <w:lang w:eastAsia="ar-SA"/>
        </w:rPr>
        <w:t>St.z</w:t>
      </w:r>
      <w:proofErr w:type="spellEnd"/>
      <w:r w:rsidRPr="003E5DB2">
        <w:rPr>
          <w:rFonts w:cs="Times New Roman" w:eastAsia="Times New Roman"/>
          <w:lang w:eastAsia="ar-SA"/>
        </w:rPr>
        <w:t xml:space="preserve">.), te Pregledom imovine i obveza (Čl. 152 </w:t>
      </w:r>
      <w:proofErr w:type="spellStart"/>
      <w:r w:rsidRPr="003E5DB2">
        <w:rPr>
          <w:rFonts w:cs="Times New Roman" w:eastAsia="Times New Roman"/>
          <w:lang w:eastAsia="ar-SA"/>
        </w:rPr>
        <w:t>St.z</w:t>
      </w:r>
      <w:proofErr w:type="spellEnd"/>
      <w:r w:rsidRPr="003E5DB2">
        <w:rPr>
          <w:rFonts w:cs="Times New Roman" w:eastAsia="Times New Roman"/>
          <w:lang w:eastAsia="ar-SA"/>
        </w:rPr>
        <w:t>.).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b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b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b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b/>
          <w:lang w:eastAsia="ar-SA"/>
        </w:rPr>
        <w:t>Imovina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Arial" w:eastAsia="Times New Roman" w:hAnsi="Arial" w:ascii="Arial"/>
          <w:b/>
          <w:bCs/>
          <w:sz w:val="20"/>
          <w:szCs w:val="20"/>
          <w:lang w:eastAsia="ar-SA"/>
        </w:rPr>
      </w:pPr>
      <w:r w:rsidRPr="003E5DB2">
        <w:rPr>
          <w:rFonts w:cs="Times New Roman" w:eastAsia="Times New Roman"/>
          <w:lang w:eastAsia="ar-SA"/>
        </w:rPr>
        <w:t>Popisom predmeta stečajne mase obuhvaćena je materijalna imovina procijenjene vrijednosti</w:t>
      </w:r>
      <w:r w:rsidRPr="003E5DB2">
        <w:rPr>
          <w:rFonts w:cs="Arial" w:eastAsia="Times New Roman" w:hAnsi="Arial" w:ascii="Arial"/>
          <w:b/>
          <w:bCs/>
          <w:sz w:val="20"/>
          <w:szCs w:val="20"/>
          <w:lang w:eastAsia="ar-SA"/>
        </w:rPr>
        <w:t xml:space="preserve"> </w:t>
      </w:r>
      <w:r w:rsidRPr="003E5DB2">
        <w:rPr>
          <w:rFonts w:cs="Times New Roman" w:eastAsia="Times New Roman"/>
          <w:b/>
          <w:bCs/>
          <w:lang w:eastAsia="ar-SA"/>
        </w:rPr>
        <w:t xml:space="preserve"> 707.212,16 kn, </w:t>
      </w:r>
      <w:r w:rsidRPr="003E5DB2">
        <w:rPr>
          <w:rFonts w:cs="Times New Roman" w:eastAsia="Times New Roman"/>
          <w:lang w:eastAsia="ar-SA"/>
        </w:rPr>
        <w:t>te potraživanja u iznosu od</w:t>
      </w:r>
      <w:r w:rsidRPr="003E5DB2">
        <w:rPr>
          <w:rFonts w:cs="Times New Roman" w:eastAsia="Times New Roman"/>
          <w:b/>
          <w:bCs/>
          <w:lang w:eastAsia="ar-SA"/>
        </w:rPr>
        <w:t xml:space="preserve"> 303.346,23 kn, </w:t>
      </w:r>
      <w:r w:rsidRPr="003E5DB2">
        <w:rPr>
          <w:rFonts w:cs="Times New Roman" w:eastAsia="Times New Roman"/>
          <w:lang w:eastAsia="ar-SA"/>
        </w:rPr>
        <w:t>odnosno ukupno imovina u vrijednosti od</w:t>
      </w:r>
      <w:r w:rsidRPr="003E5DB2">
        <w:rPr>
          <w:rFonts w:cs="Times New Roman" w:eastAsia="Times New Roman"/>
          <w:b/>
          <w:bCs/>
          <w:lang w:eastAsia="ar-SA"/>
        </w:rPr>
        <w:t xml:space="preserve"> 1.010.558,39 kn. </w:t>
      </w:r>
    </w:p>
    <w:p w:rsidRDefault="003E5DB2" w:rsidP="003E5DB2" w:rsidR="003E5DB2" w:rsidRPr="003E5DB2">
      <w:pPr>
        <w:suppressAutoHyphens/>
        <w:spacing w:after="0"/>
        <w:rPr>
          <w:rFonts w:cs="Arial" w:eastAsia="Times New Roman" w:hAnsi="Arial" w:ascii="Arial"/>
          <w:b/>
          <w:bCs/>
          <w:sz w:val="20"/>
          <w:szCs w:val="20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bCs/>
          <w:lang w:eastAsia="ar-SA"/>
        </w:rPr>
      </w:pPr>
      <w:r w:rsidRPr="003E5DB2">
        <w:rPr>
          <w:rFonts w:cs="Times New Roman" w:eastAsia="Times New Roman"/>
          <w:bCs/>
          <w:lang w:eastAsia="ar-SA"/>
        </w:rPr>
        <w:t>Za materijalnu imovinu nije obavljena procjena od strane sudskih vještaka u stečajnom postupku, već je:</w:t>
      </w:r>
    </w:p>
    <w:p w:rsidRDefault="003E5DB2" w:rsidP="003E5DB2" w:rsidR="003E5DB2" w:rsidRPr="003E5DB2">
      <w:pPr>
        <w:numPr>
          <w:ilvl w:val="0"/>
          <w:numId w:val="47"/>
        </w:numPr>
        <w:suppressAutoHyphens/>
        <w:spacing w:after="0"/>
        <w:rPr>
          <w:rFonts w:cs="Arial" w:eastAsia="Arial"/>
          <w:lang w:eastAsia="ar-SA"/>
        </w:rPr>
      </w:pPr>
      <w:r w:rsidRPr="003E5DB2">
        <w:rPr>
          <w:rFonts w:cs="Times New Roman" w:eastAsia="Times New Roman"/>
          <w:bCs/>
          <w:lang w:eastAsia="ar-SA"/>
        </w:rPr>
        <w:t>za s</w:t>
      </w:r>
      <w:r w:rsidRPr="003E5DB2">
        <w:rPr>
          <w:rFonts w:cs="Arial" w:eastAsia="Arial"/>
          <w:lang w:eastAsia="ar-SA"/>
        </w:rPr>
        <w:t xml:space="preserve">uvlasnički dio nekretnine upisane u zk.ul.br 1073,  Etažno vlasništvo (E1)- Poslovni prostor površine 61,32 m2 vrijednost je određena prema Procjeni vrijednosti nekretnina izrađene od strane </w:t>
      </w:r>
      <w:proofErr w:type="spellStart"/>
      <w:r w:rsidRPr="003E5DB2">
        <w:rPr>
          <w:rFonts w:cs="Arial" w:eastAsia="Arial"/>
          <w:lang w:eastAsia="ar-SA"/>
        </w:rPr>
        <w:t>Arting</w:t>
      </w:r>
      <w:proofErr w:type="spellEnd"/>
      <w:r w:rsidRPr="003E5DB2">
        <w:rPr>
          <w:rFonts w:cs="Arial" w:eastAsia="Arial"/>
          <w:lang w:eastAsia="ar-SA"/>
        </w:rPr>
        <w:t xml:space="preserve"> d.o.o. Bjelovar 18.4.2012. te </w:t>
      </w:r>
      <w:proofErr w:type="spellStart"/>
      <w:r w:rsidRPr="003E5DB2">
        <w:rPr>
          <w:rFonts w:cs="Arial" w:eastAsia="Arial"/>
          <w:lang w:eastAsia="ar-SA"/>
        </w:rPr>
        <w:t>reviiji</w:t>
      </w:r>
      <w:proofErr w:type="spellEnd"/>
      <w:r w:rsidRPr="003E5DB2">
        <w:rPr>
          <w:rFonts w:cs="Arial" w:eastAsia="Arial"/>
          <w:lang w:eastAsia="ar-SA"/>
        </w:rPr>
        <w:t xml:space="preserve"> iste procjene od 25.3.2014.</w:t>
      </w:r>
    </w:p>
    <w:p w:rsidRDefault="003E5DB2" w:rsidP="003E5DB2" w:rsidR="003E5DB2" w:rsidRPr="003E5DB2">
      <w:pPr>
        <w:numPr>
          <w:ilvl w:val="0"/>
          <w:numId w:val="47"/>
        </w:numPr>
        <w:suppressAutoHyphens/>
        <w:spacing w:after="0"/>
        <w:rPr>
          <w:rFonts w:cs="Times New Roman" w:eastAsia="Times New Roman"/>
          <w:bCs/>
          <w:lang w:eastAsia="ar-SA"/>
        </w:rPr>
      </w:pPr>
      <w:r w:rsidRPr="003E5DB2">
        <w:rPr>
          <w:rFonts w:cs="Arial" w:eastAsia="Arial"/>
          <w:lang w:eastAsia="ar-SA"/>
        </w:rPr>
        <w:t xml:space="preserve">za suvlasnički dio nekretnine upisane u zk.ul.br 1073,  Etažno vlasništvo (E6)-Garaža površine 13,20 m2 vrijednost je određena prema stanju u poslovnim knjigama. Za ovu </w:t>
      </w:r>
      <w:r w:rsidRPr="003E5DB2">
        <w:rPr>
          <w:rFonts w:cs="Arial" w:eastAsia="Arial"/>
          <w:lang w:eastAsia="ar-SA"/>
        </w:rPr>
        <w:lastRenderedPageBreak/>
        <w:t xml:space="preserve">nekretninu utvrđeno je i da je pravo vlasništva u zemljišnim knjigama još uvijek upisano u korist </w:t>
      </w:r>
      <w:proofErr w:type="spellStart"/>
      <w:r w:rsidRPr="003E5DB2">
        <w:rPr>
          <w:rFonts w:cs="Arial" w:eastAsia="Arial"/>
          <w:lang w:eastAsia="ar-SA"/>
        </w:rPr>
        <w:t>Marmi</w:t>
      </w:r>
      <w:proofErr w:type="spellEnd"/>
      <w:r w:rsidRPr="003E5DB2">
        <w:rPr>
          <w:rFonts w:cs="Arial" w:eastAsia="Arial"/>
          <w:lang w:eastAsia="ar-SA"/>
        </w:rPr>
        <w:t xml:space="preserve"> d.o.o. Bjelovar, no kako je za isti potpisan Ugovor o kupoprodaji nekretnina od 30.11.2012.  na kojem je potpis prodavatelja ovjeren kod javnog bilježnika Maria Franjića 16.5.2013. pod brojem OV-1450/2013. Analizom ugovora je utvrđeno da isti nije podban za prijenos prava vlasništva u zemljišnim knjigama jer predmet kupoprodaje u ugovoru nije ispravno naveden. Stoga se namjerava zatražiti sklapanje aneksa ugovora kako bi se otklonio ovaj nedostatak, a u slučaju da isti ne bude sklopljen nedostatak otkloniti podnošenjem tužbe.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bCs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bCs/>
          <w:lang w:eastAsia="ar-SA"/>
        </w:rPr>
      </w:pPr>
      <w:r w:rsidRPr="003E5DB2">
        <w:rPr>
          <w:rFonts w:cs="Times New Roman" w:eastAsia="Times New Roman"/>
          <w:bCs/>
          <w:lang w:eastAsia="ar-SA"/>
        </w:rPr>
        <w:t>Iznos potraživanja utvrđen je uvidom u poslovne knjige dužnika, a na način da su od zbira pozitivnih stanja tražbina oduzeti iznosi za koje je utvrđeno da su stečeni uvjeti za prijeboj.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bCs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bCs/>
          <w:lang w:eastAsia="ar-SA"/>
        </w:rPr>
      </w:pPr>
      <w:r w:rsidRPr="003E5DB2">
        <w:rPr>
          <w:rFonts w:cs="Times New Roman" w:eastAsia="Times New Roman"/>
          <w:bCs/>
          <w:lang w:eastAsia="ar-SA"/>
        </w:rPr>
        <w:t xml:space="preserve">Obzirom na činjenicu da su poslovne knjige preuzete u stanju nezavršenih knjiženja iz 2014. godine, za koje je trebalo izvršiti završna knjiženja te izraditi završni račun, te da je u stečajnom postupku trebalo proknjižiti kompletnu 2015. i 2016. godinu do otvaranja stečajnog postupka i to na osnovi dokumentacije koja nije bila spremna za knjiženje već se ista prikupljala iz više izvora (bivše knjigovodstvo, bivši direktor dužnika- složeno u kutije i vrećice, poslovne banke </w:t>
      </w:r>
      <w:proofErr w:type="spellStart"/>
      <w:r w:rsidRPr="003E5DB2">
        <w:rPr>
          <w:rFonts w:cs="Times New Roman" w:eastAsia="Times New Roman"/>
          <w:bCs/>
          <w:lang w:eastAsia="ar-SA"/>
        </w:rPr>
        <w:t>itd..</w:t>
      </w:r>
      <w:proofErr w:type="spellEnd"/>
      <w:r w:rsidRPr="003E5DB2">
        <w:rPr>
          <w:rFonts w:cs="Times New Roman" w:eastAsia="Times New Roman"/>
          <w:bCs/>
          <w:lang w:eastAsia="ar-SA"/>
        </w:rPr>
        <w:t>.), vrlo je moguće da dokumentacija još uvijek nije kompletna, te su stoga moguće promjene u stanju poslovnih knjiga, pa tako i u stanju potraživanja.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bCs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bCs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b/>
          <w:lang w:eastAsia="ar-SA"/>
        </w:rPr>
        <w:t>Obveze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 xml:space="preserve">U popisu vjerovnika ukupno je iskazano </w:t>
      </w:r>
      <w:r w:rsidRPr="003E5DB2">
        <w:rPr>
          <w:rFonts w:cs="Times New Roman" w:eastAsia="Times New Roman"/>
          <w:b/>
          <w:bCs/>
          <w:lang w:eastAsia="ar-SA"/>
        </w:rPr>
        <w:t>56.186,84 kn</w:t>
      </w:r>
      <w:r w:rsidRPr="003E5DB2">
        <w:rPr>
          <w:rFonts w:cs="Times New Roman" w:eastAsia="Times New Roman"/>
          <w:lang w:eastAsia="ar-SA"/>
        </w:rPr>
        <w:t xml:space="preserve"> obveza prema vjerovnicima 1. višeg isplatnog reda i </w:t>
      </w:r>
      <w:r w:rsidRPr="003E5DB2">
        <w:rPr>
          <w:rFonts w:cs="Times New Roman" w:eastAsia="Times New Roman"/>
          <w:b/>
          <w:bCs/>
          <w:lang w:eastAsia="ar-SA"/>
        </w:rPr>
        <w:t xml:space="preserve">949.523,23 </w:t>
      </w:r>
      <w:r w:rsidRPr="003E5DB2">
        <w:rPr>
          <w:rFonts w:cs="Times New Roman" w:eastAsia="Times New Roman"/>
          <w:b/>
          <w:lang w:eastAsia="ar-SA"/>
        </w:rPr>
        <w:t>kn</w:t>
      </w:r>
      <w:r w:rsidRPr="003E5DB2">
        <w:rPr>
          <w:rFonts w:cs="Times New Roman" w:eastAsia="Times New Roman"/>
          <w:lang w:eastAsia="ar-SA"/>
        </w:rPr>
        <w:t xml:space="preserve"> obveza prema vjerovnicima  2. višeg isplatnog reda, što odgovara iznosu prijavljenih tražbina.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>Također je uz izvješća dostavljen i pregled obveza prema dobavljačima (u jedinstvenom izvješće zajedno sa potraživanjima)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>Naime, čl. 222 Stečajnog zakona propisana je obveza stečajnog upravitelja da sastavi popis svih dužnikovih vjerovnika za koje je saznao iz poslovnih knjiga i poslovne dokumentacije dužnika, iz drugih podataka dužnika, prijava tražbina ili na drugi način i iz tog razloga sudu je uz izvješća priložen i navedeni pregled.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 xml:space="preserve">No obzirom na odredbu čl. 257 st 6, koja, za razliku od ranijeg zakonskog rješenja iz čl. 176. SZ, više ne dopušta dodatni rok za prijave, obveze koje nisu prijavljene u roku, a koje nisu predmet prijeboja (iznosi su već isključeni iz </w:t>
      </w:r>
      <w:proofErr w:type="spellStart"/>
      <w:r w:rsidRPr="003E5DB2">
        <w:rPr>
          <w:rFonts w:cs="Times New Roman" w:eastAsia="Times New Roman"/>
          <w:lang w:eastAsia="ar-SA"/>
        </w:rPr>
        <w:t>iz</w:t>
      </w:r>
      <w:proofErr w:type="spellEnd"/>
      <w:r w:rsidRPr="003E5DB2">
        <w:rPr>
          <w:rFonts w:cs="Times New Roman" w:eastAsia="Times New Roman"/>
          <w:lang w:eastAsia="ar-SA"/>
        </w:rPr>
        <w:t xml:space="preserve"> imovine pa ih ne treba iskazivati ni u obvezama), </w:t>
      </w:r>
      <w:proofErr w:type="spellStart"/>
      <w:r w:rsidRPr="003E5DB2">
        <w:rPr>
          <w:rFonts w:cs="Times New Roman" w:eastAsia="Times New Roman"/>
          <w:lang w:eastAsia="ar-SA"/>
        </w:rPr>
        <w:t>razlučnog</w:t>
      </w:r>
      <w:proofErr w:type="spellEnd"/>
      <w:r w:rsidRPr="003E5DB2">
        <w:rPr>
          <w:rFonts w:cs="Times New Roman" w:eastAsia="Times New Roman"/>
          <w:lang w:eastAsia="ar-SA"/>
        </w:rPr>
        <w:t xml:space="preserve"> prava (iznosi su iskazani kroz popis </w:t>
      </w:r>
      <w:proofErr w:type="spellStart"/>
      <w:r w:rsidRPr="003E5DB2">
        <w:rPr>
          <w:rFonts w:cs="Times New Roman" w:eastAsia="Times New Roman"/>
          <w:lang w:eastAsia="ar-SA"/>
        </w:rPr>
        <w:t>razlučnih</w:t>
      </w:r>
      <w:proofErr w:type="spellEnd"/>
      <w:r w:rsidRPr="003E5DB2">
        <w:rPr>
          <w:rFonts w:cs="Times New Roman" w:eastAsia="Times New Roman"/>
          <w:lang w:eastAsia="ar-SA"/>
        </w:rPr>
        <w:t xml:space="preserve"> prava) i sl., prestaju po zakonu, pa stoga njihovo iskazivanje u zbiru ukupnih obveza ne bi bilo ispravno.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b/>
          <w:lang w:eastAsia="ar-SA"/>
        </w:rPr>
        <w:t>Tijek stečajnog postupka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>U dosadašnjem tijeku stečajnog postupka obavljen je popis imovine te je  izvršena procjena  imovine za potrebe izvješća.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>Izrađen je žig te je izvršeno zatvaranje žiro računa prednika stečajnog dužnika i otvoren novi žiro račun društva u stečaju.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lastRenderedPageBreak/>
        <w:t>Poduzete su i ostale propisane radnje u stečajnom postupku (dostava ovjerenog potpisa u sudski registar, prijava Hrvatskom zavodu za statistiku i sl.).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>Izrađena je i dostavljena zakonom propisana dokumentacija u stečajnom postupku.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>Izvršen je i veći dio radnji na uspostavi knjižnog stanja stečajnog dužnika, a što podrazumijeva završna knjiženja i završni račun za 2014. godinu te knjiženja sve dostupne dokumentacije iz 2015. i 2016. godine. Zatražena je provjera broja izdanih izvoda u 2015. i 2016. godini u poslovnim bankama, te se u jednoj od poslovnih banaka čeka odgovor, kako bi se kompletirala dokumentacija, u slučaju da neki od izvoda nedostaje, a zatim će se priči završnim knjiženjima i izradi završnih računa.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>U dijelu pripreme za prodaju imovine još je preostalo stvoriti uvjete za upis prava vlasništva na dijelu imovine u korist stečajnog dužnika, te (po potrebi) dati izraditi procjene imovine.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>Nakon ovog ročišta pristupit će se prodaji imovine stečajnog dužnika, o čemu treba donijeti odgovarajuće odluke, a potrebno je donijeti i druge odluke iz nadležnosti skupštine dioničara, pa se predlaže donošenje :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>1. odluke o prihvaćanju izvješća stečajnog upravitelja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>2. odluke o uvjetima unovčenja imovine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color w:val="FF6600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>U Koprivnici 10.11.2016.</w:t>
      </w: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rPr>
          <w:rFonts w:cs="Times New Roman" w:eastAsia="Times New Roman"/>
          <w:lang w:eastAsia="ar-SA"/>
        </w:rPr>
      </w:pPr>
    </w:p>
    <w:p w:rsidRDefault="003E5DB2" w:rsidP="003E5DB2" w:rsidR="003E5DB2" w:rsidRPr="003E5DB2">
      <w:pPr>
        <w:suppressAutoHyphens/>
        <w:spacing w:after="0"/>
        <w:ind w:left="708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>Stečajni Upravitelj</w:t>
      </w:r>
    </w:p>
    <w:p w:rsidRDefault="003E5DB2" w:rsidP="003E5DB2" w:rsidR="003E5DB2" w:rsidRPr="003E5DB2">
      <w:pPr>
        <w:suppressAutoHyphens/>
        <w:spacing w:after="0"/>
        <w:ind w:left="7080"/>
        <w:rPr>
          <w:rFonts w:cs="Times New Roman" w:eastAsia="Times New Roman"/>
          <w:lang w:eastAsia="ar-SA"/>
        </w:rPr>
      </w:pPr>
      <w:r w:rsidRPr="003E5DB2">
        <w:rPr>
          <w:rFonts w:cs="Times New Roman" w:eastAsia="Times New Roman"/>
          <w:lang w:eastAsia="ar-SA"/>
        </w:rPr>
        <w:t xml:space="preserve">Nenad </w:t>
      </w:r>
      <w:proofErr w:type="spellStart"/>
      <w:r w:rsidRPr="003E5DB2">
        <w:rPr>
          <w:rFonts w:cs="Times New Roman" w:eastAsia="Times New Roman"/>
          <w:lang w:eastAsia="ar-SA"/>
        </w:rPr>
        <w:t>Homar</w:t>
      </w:r>
      <w:proofErr w:type="spellEnd"/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  <w:strike w:val="false"/>
        <w:dstrike w:val="false"/>
        <w:sz w:val="24"/>
        <w:szCs w:val="24"/>
        <w:u w:val="none"/>
        <w:effect w:val="none"/>
        <w:em w:val="none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  <w:strike w:val="false"/>
        <w:dstrike w:val="false"/>
        <w:sz w:val="24"/>
        <w:szCs w:val="24"/>
        <w:u w:val="none"/>
        <w:effect w:val="none"/>
        <w:em w:val="none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  <w:strike w:val="false"/>
        <w:dstrike w:val="false"/>
        <w:sz w:val="24"/>
        <w:szCs w:val="24"/>
        <w:u w:val="none"/>
        <w:effect w:val="none"/>
        <w:em w:val="none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  <w:strike w:val="false"/>
        <w:dstrike w:val="false"/>
        <w:sz w:val="24"/>
        <w:szCs w:val="24"/>
        <w:u w:val="none"/>
        <w:effect w:val="none"/>
        <w:em w:val="none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  <w:strike w:val="false"/>
        <w:dstrike w:val="false"/>
        <w:sz w:val="24"/>
        <w:szCs w:val="24"/>
        <w:u w:val="none"/>
        <w:effect w:val="none"/>
        <w:em w:val="none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  <w:strike w:val="false"/>
        <w:dstrike w:val="false"/>
        <w:sz w:val="24"/>
        <w:szCs w:val="24"/>
        <w:u w:val="none"/>
        <w:effect w:val="none"/>
        <w:em w:val="none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  <w:strike w:val="false"/>
        <w:dstrike w:val="false"/>
        <w:sz w:val="24"/>
        <w:szCs w:val="24"/>
        <w:u w:val="none"/>
        <w:effect w:val="none"/>
        <w:em w:val="none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  <w:strike w:val="false"/>
        <w:dstrike w:val="false"/>
        <w:sz w:val="24"/>
        <w:szCs w:val="24"/>
        <w:u w:val="none"/>
        <w:effect w:val="none"/>
        <w:em w:val="none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  <w:strike w:val="false"/>
        <w:dstrike w:val="false"/>
        <w:sz w:val="24"/>
        <w:szCs w:val="24"/>
        <w:u w:val="none"/>
        <w:effect w:val="none"/>
        <w:em w:val="none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5DB2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4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St-175/2016-20</izvorni_sadrzaj>
    <derivirana_varijabla naziv="DomainObject.Oznaka_1">St-175/2016-20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Odvjetničko društvo Mađarić &amp; Lui</item>
      <item>Zagrebačka banka d.d.</item>
      <item>Nenad Homar</item>
    </izvorni_sadrzaj>
    <derivirana_varijabla naziv="DomainObject.Predmet.OstaliListFormated_1">
      <item>Boris Blum punomoćnik sudionika u postupku INFO TIM društvo s ograničenom odgovornošću za proizvodnju, trgovinu i usluge, Bjelovar</item>
      <item>Odvjetničko društvo Mađarić &amp; Lui</item>
      <item>Zagrebačka banka d.d.</item>
      <item>Nenad Homar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Odvjetničko društvo Mađarić &amp; Lui</item>
      <item>Zagrebačka banka d.d.</item>
      <item>Nenad Homar, OIB 11719729882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Odvjetničko društvo Mađarić &amp; Lui</item>
      <item>Zagrebačka banka d.d.</item>
      <item>Nenad Homar, OIB 11719729882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Dravska 1, 48000 Koprivnica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Dravska 1, 48000 Koprivnica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OIB 11719729882, Dravska 1, 48000 Koprivnica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OIB 11719729882, Dravska 1, 48000 Koprivnica</item>
    </derivirana_varijabla>
  </DomainObject.Predmet.OstaliListFormatedWithAdressOIB>
  <DomainObject.Predmet.OstaliListNazivFormated>
    <izvorni_sadrzaj>
      <item>Boris Blum</item>
      <item>Odvjetničko društvo Mađarić &amp; Lui</item>
      <item>Zagrebačka banka d.d.</item>
      <item>Nenad Homar</item>
    </izvorni_sadrzaj>
    <derivirana_varijabla naziv="DomainObject.Predmet.OstaliListNazivFormated_1">
      <item>Boris Blum</item>
      <item>Odvjetničko društvo Mađarić &amp; Lui</item>
      <item>Zagrebačka banka d.d.</item>
      <item>Nenad Homar</item>
    </derivirana_varijabla>
  </DomainObject.Predmet.OstaliListNazivFormated>
  <DomainObject.Predmet.OstaliListNazivFormatedOIB>
    <izvorni_sadrzaj>
      <item>Boris Blum, OIB 04257897674</item>
      <item>Odvjetničko društvo Mađarić &amp; Lui</item>
      <item>Zagrebačka banka d.d.</item>
      <item>Nenad Homar, OIB 11719729882</item>
    </izvorni_sadrzaj>
    <derivirana_varijabla naziv="DomainObject.Predmet.OstaliListNazivFormatedOIB_1">
      <item>Boris Blum, OIB 04257897674</item>
      <item>Odvjetničko društvo Mađarić &amp; Lui</item>
      <item>Zagrebačka banka d.d.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St-175/2016-20</izvorni_sadrzaj>
    <derivirana_varijabla naziv="DomainObject.PoslovniBrojDokumenta_1">St-175/2016-20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Odvjetničko društvo Mađarić &amp; Lui</item>
      <item>Zagrebačka banka d.d.</item>
      <item>Nenad Homar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Odvjetničko društvo Mađarić &amp; Lui</item>
      <item>Zagrebačka banka d.d.</item>
      <item>Nenad Homar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Odvjetničko društvo Mađarić &amp; Lui, Ilica 191f,10000 Zagreb</item>
      <item>Zagrebačka banka d.d., Trg bana Josipa Jelačića 10,10000 Zagreb</item>
      <item>Nenad Homar, OIB 11719729882, Dravska 1,48000 Koprivnica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Odvjetničko društvo Mađarić &amp; Lui, Ilica 191f,10000 Zagreb</item>
      <item>Zagrebačka banka d.d., Trg bana Josipa Jelačića 10,10000 Zagreb</item>
      <item>Nenad Homar, OIB 11719729882, Dravska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1AC4FD-1B15-43CE-AEFA-E77EE76E48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857</properties:Words>
  <properties:Characters>4845</properties:Characters>
  <properties:Lines>129</properties:Lines>
  <properties:Paragraphs>35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2016-11-14T10:46:00Z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St-175/2016-20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