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C5F4A" w:rsidR="00E60AB3" w:rsidRPr="00E60AB3">
        <w:trPr>
          <w:trHeight w:val="565"/>
        </w:trPr>
        <w:tc>
          <w:tcPr>
            <w:tcW w:type="dxa" w:w="2531"/>
          </w:tcPr>
          <w:p w:rsidRDefault="00E60AB3" w:rsidP="00DC5F4A" w:rsidR="00E60AB3" w:rsidRPr="00E60AB3">
            <w:pPr>
              <w:jc w:val="center"/>
              <w:rPr>
                <w:rFonts w:hAnsi="Times New Roman" w:ascii="Times New Roman"/>
                <w:sz w:val="24"/>
                <w:szCs w:val="24"/>
              </w:rPr>
            </w:pPr>
            <w:bookmarkStart w:name="_GoBack" w:id="0"/>
            <w:bookmarkEnd w:id="0"/>
            <w:r w:rsidRPr="00E60AB3">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60AB3" w:rsidP="00DC5F4A" w:rsidR="00E60AB3" w:rsidRPr="00E60AB3">
            <w:pPr>
              <w:jc w:val="center"/>
              <w:rPr>
                <w:rFonts w:hAnsi="Times New Roman" w:ascii="Times New Roman"/>
                <w:sz w:val="24"/>
                <w:szCs w:val="24"/>
              </w:rPr>
            </w:pPr>
            <w:r w:rsidRPr="00E60AB3">
              <w:rPr>
                <w:rFonts w:hAnsi="Times New Roman" w:ascii="Times New Roman"/>
                <w:sz w:val="24"/>
                <w:szCs w:val="24"/>
              </w:rPr>
              <w:t>Republika Hrvatska</w:t>
            </w:r>
          </w:p>
          <w:p w:rsidRDefault="00E60AB3" w:rsidP="00DC5F4A" w:rsidR="00E60AB3" w:rsidRPr="00E60AB3">
            <w:pPr>
              <w:jc w:val="center"/>
              <w:rPr>
                <w:rFonts w:hAnsi="Times New Roman" w:ascii="Times New Roman"/>
                <w:sz w:val="24"/>
                <w:szCs w:val="24"/>
              </w:rPr>
            </w:pPr>
            <w:r w:rsidRPr="00E60AB3">
              <w:rPr>
                <w:rFonts w:hAnsi="Times New Roman" w:ascii="Times New Roman"/>
                <w:sz w:val="24"/>
                <w:szCs w:val="24"/>
              </w:rPr>
              <w:t>Trgovački sud u Splitu</w:t>
            </w:r>
          </w:p>
          <w:p w:rsidRDefault="00E60AB3" w:rsidP="00DC5F4A" w:rsidR="00E60AB3" w:rsidRPr="00E60AB3">
            <w:pPr>
              <w:jc w:val="center"/>
              <w:rPr>
                <w:rFonts w:hAnsi="Times New Roman" w:ascii="Times New Roman"/>
                <w:sz w:val="24"/>
                <w:szCs w:val="24"/>
              </w:rPr>
            </w:pPr>
            <w:r w:rsidRPr="00E60AB3">
              <w:rPr>
                <w:rFonts w:hAnsi="Times New Roman" w:ascii="Times New Roman"/>
                <w:sz w:val="24"/>
                <w:szCs w:val="24"/>
              </w:rPr>
              <w:t>Split, Sukoišanska 6</w:t>
            </w:r>
          </w:p>
        </w:tc>
      </w:tr>
    </w:tbl>
    <w:p w14:textId="03edcfc" w14:paraId="03edcfc" w:rsidRDefault="00E60AB3" w:rsidP="00E60AB3" w:rsidR="00E60AB3" w:rsidRPr="00E60AB3">
      <w:pPr>
        <w:jc w:val="right"/>
        <w15:collapsed w:val="false"/>
        <w:rPr>
          <w:rFonts w:hAnsi="Times New Roman" w:ascii="Times New Roman"/>
          <w:sz w:val="24"/>
          <w:szCs w:val="24"/>
        </w:rPr>
      </w:pPr>
      <w:r w:rsidRPr="00E60AB3">
        <w:rPr>
          <w:rFonts w:hAnsi="Times New Roman" w:ascii="Times New Roman"/>
          <w:sz w:val="24"/>
          <w:szCs w:val="24"/>
        </w:rPr>
        <w:br w:clear="all" w:type="textWrapping"/>
        <w:t>Poslovni broj: 4. St-1001/2017-</w:t>
      </w:r>
      <w:r w:rsidR="00C37E74">
        <w:rPr>
          <w:rFonts w:hAnsi="Times New Roman" w:ascii="Times New Roman"/>
          <w:sz w:val="24"/>
          <w:szCs w:val="24"/>
        </w:rPr>
        <w:t>28</w:t>
      </w:r>
    </w:p>
    <w:p w:rsidRDefault="00E60AB3" w:rsidP="00E60AB3" w:rsidR="00E60AB3" w:rsidRPr="00E60AB3">
      <w:pPr>
        <w:spacing w:after="200" w:before="120"/>
        <w:jc w:val="center"/>
        <w:rPr>
          <w:rFonts w:hAnsi="Times New Roman" w:ascii="Times New Roman"/>
          <w:sz w:val="24"/>
          <w:szCs w:val="24"/>
        </w:rPr>
      </w:pPr>
    </w:p>
    <w:p w:rsidRDefault="00E60AB3" w:rsidP="00E60AB3" w:rsidR="00E60AB3" w:rsidRPr="00E60AB3">
      <w:pPr>
        <w:spacing w:after="200" w:before="120"/>
        <w:jc w:val="center"/>
        <w:rPr>
          <w:rFonts w:hAnsi="Times New Roman" w:ascii="Times New Roman"/>
          <w:sz w:val="24"/>
          <w:szCs w:val="24"/>
        </w:rPr>
      </w:pPr>
      <w:r w:rsidRPr="00E60AB3">
        <w:rPr>
          <w:rFonts w:hAnsi="Times New Roman" w:ascii="Times New Roman"/>
          <w:sz w:val="24"/>
          <w:szCs w:val="24"/>
        </w:rPr>
        <w:t>R E P U B L I K A   H R V A T S K A</w:t>
      </w:r>
    </w:p>
    <w:p w:rsidRDefault="00E60AB3" w:rsidP="00E60AB3" w:rsidR="00E60AB3" w:rsidRPr="00E60AB3">
      <w:pPr>
        <w:spacing w:after="200" w:before="120"/>
        <w:jc w:val="center"/>
        <w:rPr>
          <w:rFonts w:hAnsi="Times New Roman" w:ascii="Times New Roman"/>
          <w:sz w:val="24"/>
          <w:szCs w:val="24"/>
        </w:rPr>
      </w:pPr>
      <w:r w:rsidRPr="00E60AB3">
        <w:rPr>
          <w:rFonts w:hAnsi="Times New Roman" w:ascii="Times New Roman"/>
          <w:sz w:val="24"/>
          <w:szCs w:val="24"/>
        </w:rPr>
        <w:t>R J E Š E N J E</w:t>
      </w:r>
    </w:p>
    <w:p w:rsidRDefault="00E60AB3" w:rsidP="00E60AB3" w:rsidR="00E60AB3" w:rsidRPr="00E60AB3">
      <w:pPr>
        <w:jc w:val="both"/>
        <w:rPr>
          <w:rFonts w:hAnsi="Times New Roman" w:ascii="Times New Roman"/>
          <w:sz w:val="24"/>
          <w:szCs w:val="24"/>
        </w:rPr>
      </w:pPr>
      <w:r w:rsidRPr="00E60AB3">
        <w:rPr>
          <w:rFonts w:hAnsi="Times New Roman" w:ascii="Times New Roman"/>
          <w:sz w:val="24"/>
          <w:szCs w:val="24"/>
        </w:rPr>
        <w:tab/>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AKRIL d.o.o. Solin, Zoranićeva 10, OIB: 44873360261, </w:t>
      </w:r>
      <w:r w:rsidR="00C37E74">
        <w:rPr>
          <w:rFonts w:hAnsi="Times New Roman" w:ascii="Times New Roman"/>
          <w:sz w:val="24"/>
          <w:szCs w:val="24"/>
        </w:rPr>
        <w:t>11</w:t>
      </w:r>
      <w:r w:rsidR="00207A7E">
        <w:rPr>
          <w:rFonts w:hAnsi="Times New Roman" w:ascii="Times New Roman"/>
          <w:sz w:val="24"/>
          <w:szCs w:val="24"/>
        </w:rPr>
        <w:t>. veljače 2019</w:t>
      </w:r>
      <w:r w:rsidRPr="00E60AB3">
        <w:rPr>
          <w:rFonts w:hAnsi="Times New Roman" w:ascii="Times New Roman"/>
          <w:sz w:val="24"/>
          <w:szCs w:val="24"/>
        </w:rPr>
        <w:t>.</w:t>
      </w:r>
    </w:p>
    <w:p w:rsidRDefault="00D06CC1" w:rsidP="00D06CC1" w:rsidR="00D06CC1" w:rsidRPr="00B457C0">
      <w:pPr>
        <w:jc w:val="both"/>
        <w:rPr>
          <w:rFonts w:hAnsi="Times New Roman" w:ascii="Times New Roman"/>
          <w:b/>
        </w:rPr>
      </w:pPr>
    </w:p>
    <w:p w:rsidRDefault="00D06CC1" w:rsidP="00D06CC1" w:rsidR="00D06CC1" w:rsidRPr="000029EE">
      <w:pPr>
        <w:jc w:val="center"/>
        <w:rPr>
          <w:rFonts w:hAnsi="Times New Roman" w:ascii="Times New Roman"/>
          <w:sz w:val="24"/>
          <w:szCs w:val="24"/>
        </w:rPr>
      </w:pPr>
      <w:r w:rsidRPr="000029EE">
        <w:rPr>
          <w:rFonts w:hAnsi="Times New Roman" w:ascii="Times New Roman"/>
          <w:sz w:val="24"/>
          <w:szCs w:val="24"/>
        </w:rPr>
        <w:t xml:space="preserve">r i j e š i o    j e                                               </w:t>
      </w:r>
      <w:r>
        <w:rPr>
          <w:rFonts w:hAnsi="Times New Roman" w:ascii="Times New Roman"/>
          <w:sz w:val="24"/>
          <w:szCs w:val="24"/>
        </w:rPr>
        <w:t xml:space="preserve"> </w:t>
      </w:r>
    </w:p>
    <w:p w:rsidRDefault="00D06CC1" w:rsidP="00D06CC1" w:rsidR="00D06CC1" w:rsidRPr="000029EE">
      <w:pPr>
        <w:jc w:val="both"/>
        <w:rPr>
          <w:rFonts w:hAnsi="Times New Roman" w:ascii="Times New Roman"/>
          <w:sz w:val="24"/>
          <w:szCs w:val="24"/>
        </w:rPr>
      </w:pPr>
    </w:p>
    <w:p w:rsidRDefault="00D06CC1" w:rsidP="00E60AB3" w:rsidR="00D06CC1" w:rsidRPr="00E60AB3">
      <w:pPr>
        <w:pStyle w:val="Naslov3"/>
        <w:ind w:firstLine="708"/>
        <w:rPr>
          <w:b w:val="false"/>
          <w:szCs w:val="24"/>
          <w:lang w:val="hr-HR"/>
        </w:rPr>
      </w:pPr>
      <w:r w:rsidRPr="000029EE">
        <w:rPr>
          <w:b w:val="false"/>
          <w:szCs w:val="24"/>
        </w:rPr>
        <w:t>I</w:t>
      </w:r>
      <w:r w:rsidRPr="000029EE">
        <w:rPr>
          <w:b w:val="false"/>
          <w:szCs w:val="24"/>
          <w:lang w:val="hr-HR"/>
        </w:rPr>
        <w:t xml:space="preserve">. </w:t>
      </w:r>
      <w:r w:rsidR="00E60AB3">
        <w:rPr>
          <w:b w:val="false"/>
          <w:szCs w:val="24"/>
          <w:lang w:val="hr-HR"/>
        </w:rPr>
        <w:t>Privremenom s</w:t>
      </w:r>
      <w:r>
        <w:rPr>
          <w:b w:val="false"/>
          <w:szCs w:val="24"/>
          <w:lang w:val="hr-HR"/>
        </w:rPr>
        <w:t xml:space="preserve">tečajnom upravitelju </w:t>
      </w:r>
      <w:r w:rsidR="00E60AB3" w:rsidRPr="00E60AB3">
        <w:rPr>
          <w:b w:val="false"/>
        </w:rPr>
        <w:t>Josip Hrga iz Splita, Bihaćka 15, OIB: 15662494844</w:t>
      </w:r>
      <w:r w:rsidRPr="00E60AB3">
        <w:rPr>
          <w:b w:val="false"/>
          <w:lang w:val="hr-HR"/>
        </w:rPr>
        <w:t xml:space="preserve"> određuje se nagrada za obavljene poslove u svojstvu privremenog stečajnog upravitelja u iznosu od 3.000,00 kn bruto. </w:t>
      </w:r>
    </w:p>
    <w:p w:rsidRDefault="00D06CC1" w:rsidP="00D06CC1" w:rsidR="00D06CC1" w:rsidRPr="00E60AB3">
      <w:pPr>
        <w:rPr>
          <w:rFonts w:hAnsi="Times New Roman" w:ascii="Times New Roman"/>
          <w:sz w:val="24"/>
          <w:szCs w:val="24"/>
        </w:rPr>
      </w:pPr>
    </w:p>
    <w:p w:rsidRDefault="00D06CC1" w:rsidP="00E60AB3" w:rsidR="00D06CC1" w:rsidRPr="000029EE">
      <w:pPr>
        <w:ind w:firstLine="708"/>
        <w:jc w:val="both"/>
        <w:rPr>
          <w:rFonts w:hAnsi="Times New Roman" w:ascii="Times New Roman"/>
          <w:sz w:val="24"/>
          <w:szCs w:val="24"/>
        </w:rPr>
      </w:pPr>
      <w:r>
        <w:rPr>
          <w:rFonts w:hAnsi="Times New Roman" w:ascii="Times New Roman"/>
          <w:sz w:val="24"/>
          <w:szCs w:val="24"/>
        </w:rPr>
        <w:t>I</w:t>
      </w:r>
      <w:r w:rsidRPr="000029EE">
        <w:rPr>
          <w:rFonts w:hAnsi="Times New Roman" w:ascii="Times New Roman"/>
          <w:sz w:val="24"/>
          <w:szCs w:val="24"/>
        </w:rPr>
        <w:t>I</w:t>
      </w:r>
      <w:r>
        <w:rPr>
          <w:rFonts w:hAnsi="Times New Roman" w:ascii="Times New Roman"/>
          <w:sz w:val="24"/>
          <w:szCs w:val="24"/>
        </w:rPr>
        <w:t xml:space="preserve">. Isplata određene nagrade iz točke I. ovog rješenja izvršit će se iz sredstava Fonda za namirenje troškova stečajnog postupka, a nakon pravomoćnosti ovog rješenja. </w:t>
      </w:r>
    </w:p>
    <w:p w:rsidRDefault="00D06CC1" w:rsidP="00D06CC1" w:rsidR="00D06CC1">
      <w:pPr>
        <w:pStyle w:val="Naslov3"/>
        <w:ind w:firstLine="12" w:left="708"/>
        <w:rPr>
          <w:b w:val="false"/>
          <w:szCs w:val="24"/>
          <w:lang w:val="hr-HR"/>
        </w:rPr>
      </w:pPr>
    </w:p>
    <w:p w:rsidRDefault="00D06CC1" w:rsidP="00D06CC1" w:rsidR="00D06CC1" w:rsidRPr="00E877B8">
      <w:pPr>
        <w:jc w:val="center"/>
        <w:rPr>
          <w:rFonts w:hAnsi="Times New Roman" w:ascii="Times New Roman"/>
        </w:rPr>
      </w:pPr>
    </w:p>
    <w:p w:rsidRDefault="00D06CC1" w:rsidP="00D06CC1" w:rsidR="00D06CC1" w:rsidRPr="000029EE">
      <w:pPr>
        <w:jc w:val="center"/>
        <w:rPr>
          <w:rFonts w:hAnsi="Times New Roman" w:ascii="Times New Roman"/>
          <w:sz w:val="24"/>
          <w:szCs w:val="24"/>
        </w:rPr>
      </w:pPr>
      <w:r w:rsidRPr="000029EE">
        <w:rPr>
          <w:rFonts w:hAnsi="Times New Roman" w:ascii="Times New Roman"/>
          <w:sz w:val="24"/>
          <w:szCs w:val="24"/>
        </w:rPr>
        <w:t xml:space="preserve">Obrazloženje </w:t>
      </w:r>
    </w:p>
    <w:p w:rsidRDefault="00D06CC1" w:rsidP="00D06CC1" w:rsidR="00D06CC1" w:rsidRPr="000029EE">
      <w:pPr>
        <w:jc w:val="center"/>
        <w:rPr>
          <w:rFonts w:hAnsi="Times New Roman" w:ascii="Times New Roman"/>
          <w:sz w:val="24"/>
          <w:szCs w:val="24"/>
        </w:rPr>
      </w:pPr>
    </w:p>
    <w:p w:rsidRDefault="00E60AB3" w:rsidP="00E60AB3" w:rsidR="00E60AB3" w:rsidRPr="00E60AB3">
      <w:pPr>
        <w:ind w:firstLine="708"/>
        <w:jc w:val="both"/>
        <w:rPr>
          <w:rFonts w:hAnsi="Times New Roman" w:ascii="Times New Roman"/>
          <w:sz w:val="24"/>
          <w:szCs w:val="24"/>
        </w:rPr>
      </w:pPr>
      <w:r w:rsidRPr="00E60AB3">
        <w:rPr>
          <w:rFonts w:hAnsi="Times New Roman" w:ascii="Times New Roman"/>
          <w:sz w:val="24"/>
          <w:szCs w:val="24"/>
        </w:rPr>
        <w:t>Financijska agencija, Regionalni centar Split podnijela je ovom sudu 7. lipnja 2016., na temelju odredbe članka 444. stavak 1. SZ, zahtjev za provedbu skraćenog stečajnog postupka nad dužnikom AKRIL d.o.o. Solin, Zoranićeva 10.</w:t>
      </w:r>
    </w:p>
    <w:p w:rsidRDefault="00E60AB3" w:rsidP="00E60AB3" w:rsidR="00E60AB3" w:rsidRPr="00E60AB3">
      <w:pPr>
        <w:ind w:firstLine="708"/>
        <w:jc w:val="both"/>
        <w:rPr>
          <w:rFonts w:hAnsi="Times New Roman" w:ascii="Times New Roman"/>
          <w:sz w:val="24"/>
          <w:szCs w:val="24"/>
        </w:rPr>
      </w:pPr>
    </w:p>
    <w:p w:rsidRDefault="00E60AB3" w:rsidP="00E60AB3" w:rsidR="00E60AB3" w:rsidRPr="00E60AB3">
      <w:pPr>
        <w:ind w:firstLine="708"/>
        <w:jc w:val="both"/>
        <w:rPr>
          <w:rFonts w:hAnsi="Times New Roman" w:ascii="Times New Roman"/>
          <w:sz w:val="24"/>
          <w:szCs w:val="24"/>
        </w:rPr>
      </w:pPr>
      <w:r w:rsidRPr="00E60AB3">
        <w:rPr>
          <w:rFonts w:hAnsi="Times New Roman" w:ascii="Times New Roman"/>
          <w:sz w:val="24"/>
          <w:szCs w:val="24"/>
        </w:rPr>
        <w:t>U podnesenom zahtjevu je navedeno da dužnik na dan 1. rujna 2015., u Očevidniku redoslijeda osnova za plaćanje, ima evidentirane neizvršene osnove za plaćanje u neprekinutom razdoblju od 1288 dana u ukupnom iznosu od 1.802.517,42 kuna, kao i da prema podacima koji su dostavljeni od Hrvatskog zavoda za mirovinsko osiguranje dužnik nema zaposlenih.</w:t>
      </w:r>
    </w:p>
    <w:p w:rsidRDefault="00E60AB3" w:rsidP="00E60AB3" w:rsidR="00E60AB3" w:rsidRPr="00E60AB3">
      <w:pPr>
        <w:ind w:firstLine="708"/>
        <w:jc w:val="both"/>
        <w:rPr>
          <w:rFonts w:hAnsi="Times New Roman" w:ascii="Times New Roman"/>
          <w:sz w:val="24"/>
          <w:szCs w:val="24"/>
        </w:rPr>
      </w:pPr>
    </w:p>
    <w:p w:rsidRDefault="00E60AB3" w:rsidP="00E60AB3" w:rsidR="00207A7E">
      <w:pPr>
        <w:ind w:firstLine="708"/>
        <w:jc w:val="both"/>
        <w:rPr>
          <w:rFonts w:hAnsi="Times New Roman" w:ascii="Times New Roman"/>
          <w:sz w:val="24"/>
          <w:szCs w:val="24"/>
        </w:rPr>
      </w:pPr>
      <w:r w:rsidRPr="00E60AB3">
        <w:rPr>
          <w:rFonts w:hAnsi="Times New Roman" w:ascii="Times New Roman"/>
          <w:sz w:val="24"/>
          <w:szCs w:val="24"/>
        </w:rPr>
        <w:t xml:space="preserve">Budući da su prema podacima iz podnesenog zahtjeva, kao i podacima iz sudskog registra za dužnika, bile ispunjene pretpostavke za provedbu skraćenog stečajnog postupka u smislu odredbi članka 428. Stečajnog zakona (Narodne novine broj 71/15 i 104/17, dalje SZ), ovaj sud je temeljem odredbi članka 430. SZ, na mrežnoj stranici e-Oglasna ploča sudova, 16. siječnja 2017. objavio oglas s podacima o identifikaciji dužnika te ukupnom iznosu duga dužnika evidentiranog na temelju neizvršenih osnova za plaćanje. </w:t>
      </w:r>
    </w:p>
    <w:p w:rsidRDefault="00207A7E" w:rsidP="00E60AB3" w:rsidR="00207A7E">
      <w:pPr>
        <w:ind w:firstLine="708"/>
        <w:jc w:val="both"/>
        <w:rPr>
          <w:rFonts w:hAnsi="Times New Roman" w:ascii="Times New Roman"/>
          <w:sz w:val="24"/>
          <w:szCs w:val="24"/>
        </w:rPr>
      </w:pPr>
    </w:p>
    <w:p w:rsidRDefault="00E60AB3" w:rsidP="00E60AB3" w:rsidR="00E60AB3">
      <w:pPr>
        <w:ind w:firstLine="708"/>
        <w:jc w:val="both"/>
        <w:rPr>
          <w:rFonts w:hAnsi="Times New Roman" w:ascii="Times New Roman"/>
          <w:sz w:val="24"/>
          <w:szCs w:val="24"/>
        </w:rPr>
      </w:pPr>
      <w:r w:rsidRPr="00E60AB3">
        <w:rPr>
          <w:rFonts w:hAnsi="Times New Roman" w:ascii="Times New Roman"/>
          <w:sz w:val="24"/>
          <w:szCs w:val="24"/>
        </w:rPr>
        <w:t xml:space="preserve">Predlagatelj Republika Hrvatska, Ministarstvo financija je pravovremeno, dana 27. siječnja 2017., podnio ovom sudu prijedlog za otvaranje stečajnog postupka nad dužnikom, </w:t>
      </w:r>
      <w:r w:rsidRPr="00E60AB3">
        <w:rPr>
          <w:rFonts w:hAnsi="Times New Roman" w:ascii="Times New Roman"/>
          <w:sz w:val="24"/>
          <w:szCs w:val="24"/>
        </w:rPr>
        <w:lastRenderedPageBreak/>
        <w:t xml:space="preserve">navodeći da prema dužniku ima tražbinu u iznosu od 493.372,73 kuna, koja se temelji na knjigovodstvenom i kontrolnom praćenju stanja računa dužnika kao poreznog obveznika i koju tražbinu dužnik nije podmirio. </w:t>
      </w:r>
    </w:p>
    <w:p w:rsidRDefault="00207A7E" w:rsidP="00E60AB3" w:rsidR="00207A7E" w:rsidRPr="00E60AB3">
      <w:pPr>
        <w:ind w:firstLine="708"/>
        <w:jc w:val="both"/>
        <w:rPr>
          <w:rFonts w:hAnsi="Times New Roman" w:ascii="Times New Roman"/>
          <w:sz w:val="24"/>
          <w:szCs w:val="24"/>
        </w:rPr>
      </w:pPr>
    </w:p>
    <w:p w:rsidRDefault="00207A7E" w:rsidP="00207A7E" w:rsidR="00E60AB3" w:rsidRPr="00E60AB3">
      <w:pPr>
        <w:ind w:firstLine="708"/>
        <w:jc w:val="both"/>
        <w:rPr>
          <w:rFonts w:hAnsi="Times New Roman" w:ascii="Times New Roman"/>
          <w:sz w:val="24"/>
          <w:szCs w:val="24"/>
        </w:rPr>
      </w:pPr>
      <w:r>
        <w:rPr>
          <w:rFonts w:hAnsi="Times New Roman" w:ascii="Times New Roman"/>
          <w:sz w:val="24"/>
          <w:szCs w:val="24"/>
        </w:rPr>
        <w:t>R</w:t>
      </w:r>
      <w:r w:rsidR="00E60AB3" w:rsidRPr="00E60AB3">
        <w:rPr>
          <w:rFonts w:hAnsi="Times New Roman" w:ascii="Times New Roman"/>
          <w:sz w:val="24"/>
          <w:szCs w:val="24"/>
        </w:rPr>
        <w:t xml:space="preserve">ješenjem ovog suda poslovni broj 12.St-1382/2016 od 10. travnja 2017. obustavljen je skraćeni stečajni postupak nad dužnikom, jer se u konkretnom slučaju nisu ispunile pretpostavke za donošenje rješenja o otvaranju i zaključenju skraćenog stečajnog postupka. </w:t>
      </w:r>
    </w:p>
    <w:p w:rsidRDefault="00E60AB3" w:rsidP="00E60AB3" w:rsidR="00E60AB3" w:rsidRPr="00E60AB3">
      <w:pPr>
        <w:ind w:firstLine="708"/>
        <w:jc w:val="both"/>
        <w:rPr>
          <w:rFonts w:hAnsi="Times New Roman" w:ascii="Times New Roman"/>
          <w:sz w:val="24"/>
          <w:szCs w:val="24"/>
        </w:rPr>
      </w:pPr>
    </w:p>
    <w:p w:rsidRDefault="00E60AB3" w:rsidP="00E60AB3" w:rsidR="00E60AB3" w:rsidRPr="00E60AB3">
      <w:pPr>
        <w:ind w:firstLine="708"/>
        <w:jc w:val="both"/>
        <w:rPr>
          <w:rFonts w:hAnsi="Times New Roman" w:ascii="Times New Roman"/>
          <w:sz w:val="24"/>
          <w:szCs w:val="24"/>
        </w:rPr>
      </w:pPr>
      <w:r w:rsidRPr="00E60AB3">
        <w:rPr>
          <w:rFonts w:hAnsi="Times New Roman" w:ascii="Times New Roman"/>
          <w:sz w:val="24"/>
          <w:szCs w:val="24"/>
        </w:rPr>
        <w:t>Po pravomoćnosti rješenja ovog suda o obustavi skraćenog stečajnog postupka od 10. travnja 2017., ovaj predmet je zaveden po novi poslovni broj St-1001/2017.</w:t>
      </w:r>
    </w:p>
    <w:p w:rsidRDefault="00E60AB3" w:rsidP="00E60AB3" w:rsidR="00E60AB3" w:rsidRPr="00E60AB3">
      <w:pPr>
        <w:ind w:firstLine="708"/>
        <w:jc w:val="both"/>
        <w:rPr>
          <w:rFonts w:hAnsi="Times New Roman" w:ascii="Times New Roman"/>
          <w:sz w:val="24"/>
          <w:szCs w:val="24"/>
        </w:rPr>
      </w:pPr>
    </w:p>
    <w:p w:rsidRDefault="00E60AB3" w:rsidP="00E60AB3" w:rsidR="00E60AB3" w:rsidRPr="00E60AB3">
      <w:pPr>
        <w:ind w:firstLine="708"/>
        <w:jc w:val="both"/>
        <w:rPr>
          <w:rFonts w:hAnsi="Times New Roman" w:ascii="Times New Roman"/>
          <w:sz w:val="24"/>
          <w:szCs w:val="24"/>
        </w:rPr>
      </w:pPr>
      <w:r w:rsidRPr="00E60AB3">
        <w:rPr>
          <w:rFonts w:hAnsi="Times New Roman" w:ascii="Times New Roman"/>
          <w:sz w:val="24"/>
          <w:szCs w:val="24"/>
        </w:rPr>
        <w:t>Rješenjem pod gornjim poslovnim brojem od 7. studenog 2018. godine određena je mjera osiguranja tako što je dužniku postavljen Josip Hrga iz Splita, Bihaćka 15, OIB: 15662494844 privremenim stečajnim upraviteljem.</w:t>
      </w:r>
    </w:p>
    <w:p w:rsidRDefault="00E60AB3" w:rsidP="00E60AB3" w:rsidR="00E60AB3" w:rsidRPr="00E60AB3">
      <w:pPr>
        <w:ind w:firstLine="708"/>
        <w:jc w:val="both"/>
        <w:rPr>
          <w:rFonts w:hAnsi="Times New Roman" w:ascii="Times New Roman"/>
          <w:sz w:val="24"/>
          <w:szCs w:val="24"/>
        </w:rPr>
      </w:pPr>
    </w:p>
    <w:p w:rsidRDefault="00E60AB3" w:rsidP="00E60AB3" w:rsidR="00E60AB3" w:rsidRPr="00E60AB3">
      <w:pPr>
        <w:ind w:firstLine="708"/>
        <w:jc w:val="both"/>
        <w:rPr>
          <w:rFonts w:hAnsi="Times New Roman" w:ascii="Times New Roman"/>
          <w:sz w:val="24"/>
          <w:szCs w:val="24"/>
        </w:rPr>
      </w:pPr>
      <w:r w:rsidRPr="00E60AB3">
        <w:rPr>
          <w:rFonts w:hAnsi="Times New Roman" w:ascii="Times New Roman"/>
          <w:sz w:val="24"/>
          <w:szCs w:val="24"/>
        </w:rPr>
        <w:t xml:space="preserve">U izvješću privremenog stečajnog upravitelja od 5. prosinca 2018. se navodi je zadnja financijska izvješća dužnik predao za poslovnu godinu i tada su ostvareni prihodi u ukupnom iznosu od 1.996.393,00 kuna i gubitak u iznosu od 216.523,00 kuna. U 2012. dužnik je prestao s poslovanjem, prema otpremnici-računu br. 000007 od 14. ožujka 2012. zatečene zalihe robe u iznosu od 265.189,85 kuna vraćene su dobavljaču Kemilak d.o.o. u stečaju Split. U navedenom računu nalazi se i jedan dio artikala kojima je istekao rok trajanja. Analizom financijskih izvješća utvrđeno je da na pozicijama dugotrajne imovine dužnik ima evidentiran iznos od 72.811,00 kuna koji se odnosi na alate, pogonski inventar i transportna sredstva. Dužnik je na pozicijama kratkotrajne imovine iskazao potraživanja od kupaca u iznosu od 372.291,00 kuna, navedena potraživanja nisu utužena u rokovima zastare. Prema potvrdama Općinskog suda u Splitu, poseban zemljišnoknjižni odjel Solin i zemljišnoknjižni odjel Split dužnik nije upisan kao vlasnik nekretnina na području nadležnosti navedenih zemljišnoknjižnih odjela. Uvidom u evidenciju Centar za vozila Hrvatske d.d. dužnik nije evidentiran kao vlasnik vozila. Poslovni račun dužnik je duži period u neprekidnoj blokadi te je dužnik nesposoban za plaćanje u skladu s odredbama članka 6. stavak 2. Stečajnog zakona. Temeljem navedenog, privremeni stečajni upravitelj zaključuje da dužnik ne posjeduje imovinu dostatnu za provedbu stečajnog postupka, a time i za pokriće troškova stečajnog postupka, slijedom čega predlaže da sud pozove osobe sukladno članku 132. stavak 1. Stečajnog zakona koji imaju pravni interes za provedbu stečajnog postupka na uplatu predujma za namirenje troškova istog u iznosu od 22.000,00 kuna, a koliko iznose predvidivi troškovi.  Ako se osobe ne odazovu u za to određenom roku predlaže otvaranje i zaključenje stečajnog postupka iz razloga nedostatnosti stečajne mase za pokriće troškova stečajnog postupka. </w:t>
      </w:r>
    </w:p>
    <w:p w:rsidRDefault="00E60AB3" w:rsidP="00E60AB3" w:rsidR="00E60AB3" w:rsidRPr="00E60AB3">
      <w:pPr>
        <w:ind w:firstLine="708"/>
        <w:jc w:val="both"/>
        <w:rPr>
          <w:rFonts w:hAnsi="Times New Roman" w:ascii="Times New Roman"/>
          <w:sz w:val="24"/>
          <w:szCs w:val="24"/>
        </w:rPr>
      </w:pPr>
    </w:p>
    <w:p w:rsidRDefault="00E60AB3" w:rsidP="00E60AB3" w:rsidR="00E60AB3" w:rsidRPr="00E60AB3">
      <w:pPr>
        <w:ind w:firstLine="708"/>
        <w:jc w:val="both"/>
        <w:rPr>
          <w:rFonts w:hAnsi="Times New Roman" w:ascii="Times New Roman"/>
          <w:sz w:val="24"/>
          <w:szCs w:val="24"/>
        </w:rPr>
      </w:pPr>
      <w:r w:rsidRPr="00E60AB3">
        <w:rPr>
          <w:rFonts w:hAnsi="Times New Roman" w:ascii="Times New Roman"/>
          <w:sz w:val="24"/>
          <w:szCs w:val="24"/>
        </w:rPr>
        <w:t xml:space="preserve">Međutim, osim postojanja stečajnog razloga kod dužnika, iz rezultata prethodnog postupka također proizlazi i da dužnik nema bilo kakve vrjednije imovine koju bi ušla u stečajnu masu. </w:t>
      </w:r>
    </w:p>
    <w:p w:rsidRDefault="00E60AB3" w:rsidP="00E60AB3" w:rsidR="00E60AB3">
      <w:pPr>
        <w:ind w:firstLine="708"/>
        <w:jc w:val="both"/>
      </w:pPr>
    </w:p>
    <w:p w:rsidRDefault="00D06CC1" w:rsidP="00E60AB3" w:rsidR="00D06CC1">
      <w:pPr>
        <w:ind w:firstLine="708"/>
        <w:jc w:val="both"/>
        <w:rPr>
          <w:rFonts w:hAnsi="Times New Roman" w:ascii="Times New Roman"/>
          <w:sz w:val="24"/>
          <w:szCs w:val="24"/>
        </w:rPr>
      </w:pPr>
      <w:r>
        <w:rPr>
          <w:rFonts w:hAnsi="Times New Roman" w:ascii="Times New Roman"/>
          <w:sz w:val="24"/>
          <w:szCs w:val="24"/>
        </w:rPr>
        <w:t xml:space="preserve">Podneskom od </w:t>
      </w:r>
      <w:r w:rsidR="00207A7E">
        <w:rPr>
          <w:rFonts w:hAnsi="Times New Roman" w:ascii="Times New Roman"/>
          <w:sz w:val="24"/>
          <w:szCs w:val="24"/>
        </w:rPr>
        <w:t>12. prosinca 2018</w:t>
      </w:r>
      <w:r>
        <w:rPr>
          <w:rFonts w:hAnsi="Times New Roman" w:ascii="Times New Roman"/>
          <w:sz w:val="24"/>
          <w:szCs w:val="24"/>
        </w:rPr>
        <w:t xml:space="preserve">. </w:t>
      </w:r>
      <w:r w:rsidR="00E60AB3">
        <w:rPr>
          <w:rFonts w:hAnsi="Times New Roman" w:ascii="Times New Roman"/>
          <w:sz w:val="24"/>
          <w:szCs w:val="24"/>
        </w:rPr>
        <w:t xml:space="preserve">privremeni </w:t>
      </w:r>
      <w:r>
        <w:rPr>
          <w:rFonts w:hAnsi="Times New Roman" w:ascii="Times New Roman"/>
          <w:sz w:val="24"/>
          <w:szCs w:val="24"/>
        </w:rPr>
        <w:t xml:space="preserve">stečajni upravitelj </w:t>
      </w:r>
      <w:r w:rsidR="00E60AB3">
        <w:rPr>
          <w:rFonts w:hAnsi="Times New Roman" w:ascii="Times New Roman"/>
          <w:sz w:val="24"/>
          <w:szCs w:val="24"/>
        </w:rPr>
        <w:t>Josip Hrga</w:t>
      </w:r>
      <w:r>
        <w:rPr>
          <w:rFonts w:hAnsi="Times New Roman" w:ascii="Times New Roman"/>
          <w:sz w:val="24"/>
          <w:szCs w:val="24"/>
        </w:rPr>
        <w:t xml:space="preserve"> je predložio sudu odrediti mu nagradu za rad koji je obavio u prethodnom postupku radi utvrđivanja uvjeta za otvaranje stečajnog postupka nad dužnikom, prema Uredbi u iznosu koji sud određuje u sličnim predmetima.</w:t>
      </w:r>
    </w:p>
    <w:p w:rsidRDefault="00D06CC1" w:rsidP="00D06CC1" w:rsidR="00D06CC1">
      <w:pPr>
        <w:jc w:val="both"/>
        <w:rPr>
          <w:rFonts w:hAnsi="Times New Roman" w:ascii="Times New Roman"/>
          <w:sz w:val="24"/>
          <w:szCs w:val="24"/>
        </w:rPr>
      </w:pPr>
    </w:p>
    <w:p w:rsidRDefault="00D06CC1" w:rsidP="00D06CC1" w:rsidR="00D06CC1">
      <w:pPr>
        <w:ind w:firstLine="708"/>
        <w:jc w:val="both"/>
        <w:rPr>
          <w:rFonts w:hAnsi="Times New Roman" w:ascii="Times New Roman"/>
          <w:sz w:val="24"/>
          <w:szCs w:val="24"/>
        </w:rPr>
      </w:pPr>
      <w:r>
        <w:rPr>
          <w:rFonts w:hAnsi="Times New Roman" w:ascii="Times New Roman"/>
          <w:sz w:val="24"/>
          <w:szCs w:val="24"/>
        </w:rPr>
        <w:lastRenderedPageBreak/>
        <w:t>Odr</w:t>
      </w:r>
      <w:r w:rsidR="00E60AB3">
        <w:rPr>
          <w:rFonts w:hAnsi="Times New Roman" w:ascii="Times New Roman"/>
          <w:sz w:val="24"/>
          <w:szCs w:val="24"/>
        </w:rPr>
        <w:t>edbom članka 119. stavak 6. SZ</w:t>
      </w:r>
      <w:r>
        <w:rPr>
          <w:rFonts w:hAnsi="Times New Roman" w:ascii="Times New Roman"/>
          <w:sz w:val="24"/>
          <w:szCs w:val="24"/>
        </w:rPr>
        <w:t xml:space="preserve"> propisano je da se na privremenog stečajnog upravitelja na odgovarajući način primjenjuju odredbe Stečajnog zakona o stečajnom upravitelju.</w:t>
      </w:r>
    </w:p>
    <w:p w:rsidRDefault="00D06CC1" w:rsidP="00D06CC1" w:rsidR="00D06CC1">
      <w:pPr>
        <w:ind w:firstLine="708"/>
        <w:jc w:val="both"/>
        <w:rPr>
          <w:rFonts w:hAnsi="Times New Roman" w:ascii="Times New Roman"/>
          <w:sz w:val="24"/>
          <w:szCs w:val="24"/>
        </w:rPr>
      </w:pPr>
    </w:p>
    <w:p w:rsidRDefault="00E60AB3" w:rsidP="00D06CC1" w:rsidR="00D06CC1">
      <w:pPr>
        <w:ind w:firstLine="708"/>
        <w:jc w:val="both"/>
        <w:rPr>
          <w:rFonts w:hAnsi="Times New Roman" w:ascii="Times New Roman"/>
          <w:sz w:val="24"/>
          <w:szCs w:val="24"/>
        </w:rPr>
      </w:pPr>
      <w:r>
        <w:rPr>
          <w:rFonts w:hAnsi="Times New Roman" w:ascii="Times New Roman"/>
          <w:sz w:val="24"/>
          <w:szCs w:val="24"/>
        </w:rPr>
        <w:t>Prema odredbama članka 94. SZ</w:t>
      </w:r>
      <w:r w:rsidR="00D06CC1">
        <w:rPr>
          <w:rFonts w:hAnsi="Times New Roman" w:ascii="Times New Roman"/>
          <w:sz w:val="24"/>
          <w:szCs w:val="24"/>
        </w:rPr>
        <w:t>, stečajni upravitelj ima pravo na nagradu za svoj rad i naknadu stvarnih troškova (stavak 1.). Nagradu stečajnom upravitelju rješenjem određuje sud prema uredbi kojom Vlada Republike Hrvatske utvrđuje kriterije i način obračuna i plaćanja nagrade stečajnim upraviteljima (stavak 2.), a naknadu troškova rješenjem određuje sud na temelju pisanog, obrazloženog i dokumentiranog izvješća stečajnog upravitelja (stavak 3.).</w:t>
      </w:r>
    </w:p>
    <w:p w:rsidRDefault="00D06CC1" w:rsidP="00D06CC1" w:rsidR="00D06CC1">
      <w:pPr>
        <w:ind w:firstLine="708"/>
        <w:jc w:val="both"/>
        <w:rPr>
          <w:rFonts w:hAnsi="Times New Roman" w:ascii="Times New Roman"/>
          <w:sz w:val="24"/>
          <w:szCs w:val="24"/>
        </w:rPr>
      </w:pPr>
    </w:p>
    <w:p w:rsidRDefault="00D06CC1" w:rsidP="00D06CC1" w:rsidR="00D06CC1">
      <w:pPr>
        <w:ind w:firstLine="708"/>
        <w:jc w:val="both"/>
        <w:rPr>
          <w:rFonts w:hAnsi="Times New Roman" w:ascii="Times New Roman"/>
          <w:sz w:val="24"/>
          <w:szCs w:val="24"/>
        </w:rPr>
      </w:pPr>
      <w:r>
        <w:rPr>
          <w:rFonts w:hAnsi="Times New Roman" w:ascii="Times New Roman"/>
          <w:sz w:val="24"/>
          <w:szCs w:val="24"/>
        </w:rPr>
        <w:t>Odredbom članka 2. stavak 1. Uredbe o kriterijima i načinu obračuna i plaćanja nagrade stečajnim upraviteljima (Narodne novine broj 105/05, dalje Uredba), propisano je da stečajni upravitelj, privremeni stečajni upravitelj, povjerenik predstečajnog postupka i stečajni povjerenik imaju pravo na nagradu za obavljene poslove. Prema članku 4. Uredbe privremenom stečajnom upravitelju pripada pravo na jednokratnu nagradu za poslove obavljene u prethodnom postupku u iznosu od 3.000,00 kn do 20.000,00 kn (stavak 1.), a koju nagradu privremenom stečajnom upravitelju određuje sud vodeći računa o složenosti poslova koje je obavio (stavak 2.).</w:t>
      </w:r>
    </w:p>
    <w:p w:rsidRDefault="00D06CC1" w:rsidP="00D06CC1" w:rsidR="00D06CC1">
      <w:pPr>
        <w:ind w:firstLine="708"/>
        <w:jc w:val="both"/>
        <w:rPr>
          <w:rFonts w:hAnsi="Times New Roman" w:ascii="Times New Roman"/>
          <w:sz w:val="24"/>
          <w:szCs w:val="24"/>
        </w:rPr>
      </w:pPr>
    </w:p>
    <w:p w:rsidRDefault="00D06CC1" w:rsidP="00D06CC1" w:rsidR="00D06CC1">
      <w:pPr>
        <w:ind w:firstLine="708"/>
        <w:jc w:val="both"/>
        <w:rPr>
          <w:rFonts w:hAnsi="Times New Roman" w:ascii="Times New Roman"/>
          <w:sz w:val="24"/>
          <w:szCs w:val="24"/>
        </w:rPr>
      </w:pPr>
      <w:r>
        <w:rPr>
          <w:rFonts w:hAnsi="Times New Roman" w:ascii="Times New Roman"/>
          <w:sz w:val="24"/>
          <w:szCs w:val="24"/>
        </w:rPr>
        <w:t xml:space="preserve">Budući da je, prema ocjeni ovog suda, obavljeni posao privremenog stečajnog upravitelja u prethodnom postupku bio nižeg stupnja složenosti to stoga ovaj sud smatra da je jednokratna nagrada u iznosu od 3.000,00 kn bruto primjerena uloženom trudu i poduzetim aktivnostima </w:t>
      </w:r>
      <w:r w:rsidR="00E60AB3">
        <w:rPr>
          <w:rFonts w:hAnsi="Times New Roman" w:ascii="Times New Roman"/>
          <w:sz w:val="24"/>
          <w:szCs w:val="24"/>
        </w:rPr>
        <w:t>Josipa Hrge</w:t>
      </w:r>
      <w:r>
        <w:rPr>
          <w:rFonts w:hAnsi="Times New Roman" w:ascii="Times New Roman"/>
          <w:sz w:val="24"/>
          <w:szCs w:val="24"/>
        </w:rPr>
        <w:t>, a radi čega je istom, za obavljene poslove u prethodnom postupku, određena nagrada u tom iznosu. Tako određeni iznos nagrade kreće u okvirima iznosa nagrada koje je ovaj sud određivao drugim privremenim stečajnim upraviteljima u predmetima koji su bili istog ili sličnog stupnja složenosti.</w:t>
      </w:r>
    </w:p>
    <w:p w:rsidRDefault="00D06CC1" w:rsidP="00D06CC1" w:rsidR="00D06CC1">
      <w:pPr>
        <w:ind w:firstLine="708"/>
        <w:jc w:val="both"/>
        <w:rPr>
          <w:rFonts w:hAnsi="Times New Roman" w:ascii="Times New Roman"/>
          <w:sz w:val="24"/>
          <w:szCs w:val="24"/>
        </w:rPr>
      </w:pPr>
    </w:p>
    <w:p w:rsidRDefault="00D06CC1" w:rsidP="00D06CC1" w:rsidR="00D06CC1" w:rsidRPr="006E4EFF">
      <w:pPr>
        <w:ind w:firstLine="708"/>
        <w:jc w:val="both"/>
        <w:rPr>
          <w:rFonts w:hAnsi="Times New Roman" w:ascii="Times New Roman"/>
          <w:sz w:val="24"/>
          <w:szCs w:val="24"/>
        </w:rPr>
      </w:pPr>
      <w:r>
        <w:rPr>
          <w:rFonts w:hAnsi="Times New Roman" w:ascii="Times New Roman"/>
          <w:sz w:val="24"/>
          <w:szCs w:val="24"/>
        </w:rPr>
        <w:t>Slijedom navedenog i sukladno n</w:t>
      </w:r>
      <w:r w:rsidR="00E60AB3">
        <w:rPr>
          <w:rFonts w:hAnsi="Times New Roman" w:ascii="Times New Roman"/>
          <w:sz w:val="24"/>
          <w:szCs w:val="24"/>
        </w:rPr>
        <w:t>aprijed navedenim odredbama SZ</w:t>
      </w:r>
      <w:r>
        <w:rPr>
          <w:rFonts w:hAnsi="Times New Roman" w:ascii="Times New Roman"/>
          <w:sz w:val="24"/>
          <w:szCs w:val="24"/>
        </w:rPr>
        <w:t xml:space="preserve"> i Uredbe odlučeno je kao u točki I. izreke ovog rješenja, dok </w:t>
      </w:r>
      <w:r w:rsidRPr="006E4EFF">
        <w:rPr>
          <w:rFonts w:hAnsi="Times New Roman" w:ascii="Times New Roman"/>
          <w:sz w:val="24"/>
          <w:szCs w:val="24"/>
        </w:rPr>
        <w:t>se odluka pod točkom II. izreke rješenja temelji na odredbama članka 111. stavak 3. u v</w:t>
      </w:r>
      <w:r w:rsidR="00E60AB3">
        <w:rPr>
          <w:rFonts w:hAnsi="Times New Roman" w:ascii="Times New Roman"/>
          <w:sz w:val="24"/>
          <w:szCs w:val="24"/>
        </w:rPr>
        <w:t>ezi s člankom 94. stavak 6. SZ</w:t>
      </w:r>
      <w:r w:rsidRPr="006E4EFF">
        <w:rPr>
          <w:rFonts w:hAnsi="Times New Roman" w:ascii="Times New Roman"/>
          <w:sz w:val="24"/>
          <w:szCs w:val="24"/>
        </w:rPr>
        <w:t xml:space="preserve">. </w:t>
      </w:r>
    </w:p>
    <w:p w:rsidRDefault="00D06CC1" w:rsidP="00D06CC1" w:rsidR="00D06CC1" w:rsidRPr="006E4EFF">
      <w:pPr>
        <w:jc w:val="center"/>
        <w:rPr>
          <w:rFonts w:hAnsi="Times New Roman" w:ascii="Times New Roman"/>
          <w:sz w:val="24"/>
          <w:szCs w:val="24"/>
        </w:rPr>
      </w:pPr>
    </w:p>
    <w:p w:rsidRDefault="00D06CC1" w:rsidP="00D06CC1" w:rsidR="00D06CC1" w:rsidRPr="006E4EFF">
      <w:pPr>
        <w:jc w:val="center"/>
        <w:rPr>
          <w:rFonts w:hAnsi="Times New Roman" w:ascii="Times New Roman"/>
          <w:sz w:val="24"/>
          <w:szCs w:val="24"/>
        </w:rPr>
      </w:pPr>
      <w:r w:rsidRPr="006E4EFF">
        <w:rPr>
          <w:rFonts w:hAnsi="Times New Roman" w:ascii="Times New Roman"/>
          <w:sz w:val="24"/>
          <w:szCs w:val="24"/>
        </w:rPr>
        <w:t xml:space="preserve">U Splitu, </w:t>
      </w:r>
      <w:r w:rsidR="00C37E74">
        <w:rPr>
          <w:rFonts w:hAnsi="Times New Roman" w:ascii="Times New Roman"/>
          <w:sz w:val="24"/>
          <w:szCs w:val="24"/>
        </w:rPr>
        <w:t>11</w:t>
      </w:r>
      <w:r w:rsidR="00207A7E">
        <w:rPr>
          <w:rFonts w:hAnsi="Times New Roman" w:ascii="Times New Roman"/>
          <w:sz w:val="24"/>
          <w:szCs w:val="24"/>
        </w:rPr>
        <w:t>. veljače</w:t>
      </w:r>
      <w:r w:rsidRPr="006E4EFF">
        <w:rPr>
          <w:rFonts w:hAnsi="Times New Roman" w:ascii="Times New Roman"/>
          <w:sz w:val="24"/>
          <w:szCs w:val="24"/>
        </w:rPr>
        <w:t xml:space="preserve"> 2019.</w:t>
      </w:r>
    </w:p>
    <w:p w:rsidRDefault="00D06CC1" w:rsidP="00D06CC1" w:rsidR="00D06CC1" w:rsidRPr="006E4EFF">
      <w:pPr>
        <w:jc w:val="both"/>
        <w:rPr>
          <w:rFonts w:hAnsi="Times New Roman" w:ascii="Times New Roman"/>
          <w:sz w:val="24"/>
          <w:szCs w:val="24"/>
        </w:rPr>
      </w:pPr>
      <w:r w:rsidRPr="006E4EFF">
        <w:rPr>
          <w:rFonts w:hAnsi="Times New Roman" w:ascii="Times New Roman"/>
          <w:sz w:val="24"/>
          <w:szCs w:val="24"/>
        </w:rPr>
        <w:t xml:space="preserve"> </w:t>
      </w:r>
    </w:p>
    <w:p w:rsidRDefault="00D06CC1" w:rsidP="00D06CC1" w:rsidR="00D06CC1" w:rsidRPr="006E4EFF">
      <w:pPr>
        <w:ind w:left="4956"/>
        <w:jc w:val="center"/>
        <w:rPr>
          <w:rFonts w:hAnsi="Times New Roman" w:ascii="Times New Roman"/>
          <w:sz w:val="24"/>
          <w:szCs w:val="24"/>
        </w:rPr>
      </w:pPr>
      <w:r w:rsidRPr="006E4EFF">
        <w:rPr>
          <w:rFonts w:hAnsi="Times New Roman" w:ascii="Times New Roman"/>
          <w:sz w:val="24"/>
          <w:szCs w:val="24"/>
        </w:rPr>
        <w:t>Sudac</w:t>
      </w:r>
    </w:p>
    <w:p w:rsidRDefault="00D06CC1" w:rsidP="00D06CC1" w:rsidR="00D06CC1">
      <w:pPr>
        <w:ind w:left="4956"/>
        <w:jc w:val="center"/>
        <w:rPr>
          <w:rFonts w:hAnsi="Times New Roman" w:ascii="Times New Roman"/>
          <w:sz w:val="24"/>
          <w:szCs w:val="24"/>
        </w:rPr>
      </w:pPr>
    </w:p>
    <w:p w:rsidRDefault="00E60AB3" w:rsidP="00D06CC1" w:rsidR="00E60AB3" w:rsidRPr="006E4EFF">
      <w:pPr>
        <w:ind w:left="4956"/>
        <w:jc w:val="center"/>
        <w:rPr>
          <w:rFonts w:hAnsi="Times New Roman" w:ascii="Times New Roman"/>
          <w:sz w:val="24"/>
          <w:szCs w:val="24"/>
        </w:rPr>
      </w:pPr>
    </w:p>
    <w:p w:rsidRDefault="00E60AB3" w:rsidP="00D06CC1" w:rsidR="00AA1905">
      <w:pPr>
        <w:ind w:firstLine="708" w:left="5664"/>
        <w:rPr>
          <w:rFonts w:hAnsi="Times New Roman" w:ascii="Times New Roman"/>
          <w:sz w:val="24"/>
          <w:szCs w:val="24"/>
        </w:rPr>
      </w:pPr>
      <w:r>
        <w:rPr>
          <w:rFonts w:hAnsi="Times New Roman" w:ascii="Times New Roman"/>
          <w:sz w:val="24"/>
          <w:szCs w:val="24"/>
        </w:rPr>
        <w:t>Katarina Mikulić</w:t>
      </w:r>
      <w:r w:rsidR="00AA1905">
        <w:rPr>
          <w:rFonts w:hAnsi="Times New Roman" w:ascii="Times New Roman"/>
          <w:sz w:val="24"/>
          <w:szCs w:val="24"/>
        </w:rPr>
        <w:t>,v.r.</w:t>
      </w:r>
    </w:p>
    <w:p w:rsidRDefault="00AA1905" w:rsidP="0071700F" w:rsidR="00AA1905">
      <w:pPr>
        <w:pStyle w:val="Bezproreda"/>
        <w:jc w:val="right"/>
        <w:rPr>
          <w:rFonts w:cs="Times New Roman" w:hAnsi="Times New Roman" w:ascii="Times New Roman"/>
          <w:sz w:val="24"/>
          <w:szCs w:val="24"/>
        </w:rPr>
      </w:pPr>
      <w:r>
        <w:rPr>
          <w:rFonts w:hAnsi="Times New Roman" w:ascii="Times New Roman"/>
          <w:sz w:val="24"/>
          <w:szCs w:val="24"/>
        </w:rPr>
        <w:t xml:space="preserve">za </w:t>
      </w:r>
      <w:r>
        <w:rPr>
          <w:rFonts w:cs="Times New Roman" w:hAnsi="Times New Roman" w:ascii="Times New Roman"/>
          <w:sz w:val="24"/>
          <w:szCs w:val="24"/>
        </w:rPr>
        <w:t>točnost otpravka – ovlašteni službenik</w:t>
      </w:r>
    </w:p>
    <w:p w:rsidRDefault="00AA1905" w:rsidP="0071700F" w:rsidR="00AA190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60AB3" w:rsidP="00D06CC1" w:rsidR="00D06CC1" w:rsidRPr="006E4EFF">
      <w:pPr>
        <w:ind w:firstLine="708" w:left="5664"/>
        <w:rPr>
          <w:rFonts w:hAnsi="Times New Roman" w:ascii="Times New Roman"/>
          <w:sz w:val="24"/>
          <w:szCs w:val="24"/>
        </w:rPr>
      </w:pPr>
      <w:r>
        <w:rPr>
          <w:rFonts w:hAnsi="Times New Roman" w:ascii="Times New Roman"/>
          <w:sz w:val="24"/>
          <w:szCs w:val="24"/>
        </w:rPr>
        <w:t xml:space="preserve"> </w:t>
      </w:r>
    </w:p>
    <w:p w:rsidRDefault="00D06CC1" w:rsidP="00D06CC1" w:rsidR="00D06CC1" w:rsidRPr="006E4EFF">
      <w:pPr>
        <w:jc w:val="both"/>
        <w:rPr>
          <w:rFonts w:hAnsi="Times New Roman" w:ascii="Times New Roman"/>
          <w:sz w:val="24"/>
          <w:szCs w:val="24"/>
        </w:rPr>
      </w:pPr>
    </w:p>
    <w:p w:rsidRDefault="00D06CC1" w:rsidP="00D06CC1" w:rsidR="00D06CC1" w:rsidRPr="006E4EFF">
      <w:pPr>
        <w:jc w:val="both"/>
        <w:rPr>
          <w:rFonts w:hAnsi="Times New Roman" w:ascii="Times New Roman"/>
          <w:sz w:val="24"/>
          <w:szCs w:val="24"/>
        </w:rPr>
      </w:pPr>
      <w:r w:rsidRPr="006E4EFF">
        <w:rPr>
          <w:rFonts w:hAnsi="Times New Roman" w:ascii="Times New Roman"/>
          <w:sz w:val="24"/>
          <w:szCs w:val="24"/>
        </w:rPr>
        <w:t xml:space="preserve">Pouka o pravnom lijeku: </w:t>
      </w:r>
    </w:p>
    <w:p w:rsidRDefault="00D06CC1" w:rsidP="00D06CC1" w:rsidR="00D06CC1" w:rsidRPr="006E4EFF">
      <w:pPr>
        <w:jc w:val="both"/>
        <w:rPr>
          <w:rFonts w:hAnsi="Times New Roman" w:ascii="Times New Roman"/>
          <w:sz w:val="24"/>
          <w:szCs w:val="24"/>
        </w:rPr>
      </w:pPr>
      <w:r w:rsidRPr="006E4EFF">
        <w:rPr>
          <w:rFonts w:hAnsi="Times New Roman" w:ascii="Times New Roman"/>
          <w:sz w:val="24"/>
          <w:szCs w:val="24"/>
        </w:rPr>
        <w:t xml:space="preserve">Protiv ovog rješenja dopuštena je žalba Visokom trgovačkom sudu Republike Hrvatske u Zagrebu. Žalba se podnosi putem ovog suda, pismeno u tri primjerka, u roku od 8 dana od dostave ovog rješenja, a dostava ovog rješenja smatra se obavljenom istekom osmog dana od dana njegove objave na mrežnoj stranici e-Oglasna ploča sudova. </w:t>
      </w:r>
    </w:p>
    <w:p w:rsidRDefault="00853B3E" w:rsidR="00853B3E"/>
    <w:p w:rsidRDefault="00E60AB3" w:rsidR="00E60AB3" w:rsidRPr="00E60AB3">
      <w:pPr>
        <w:rPr>
          <w:rFonts w:hAnsi="Times New Roman" w:ascii="Times New Roman"/>
          <w:sz w:val="24"/>
          <w:szCs w:val="24"/>
        </w:rPr>
      </w:pPr>
      <w:r w:rsidRPr="00E60AB3">
        <w:rPr>
          <w:rFonts w:hAnsi="Times New Roman" w:ascii="Times New Roman"/>
          <w:sz w:val="24"/>
          <w:szCs w:val="24"/>
        </w:rPr>
        <w:t xml:space="preserve"> </w:t>
      </w:r>
    </w:p>
    <w:sectPr w:rsidSect="000F04D3" w:rsidR="00E60AB3" w:rsidRPr="00E60AB3">
      <w:headerReference w:type="even" r:id="rId9"/>
      <w:headerReference w:type="default" r:id="rId10"/>
      <w:pgSz w:h="16838" w:w="11906"/>
      <w:pgMar w:gutter="0" w:footer="708" w:header="855"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AB3" w:rsidR="007B369A">
      <w:r>
        <w:separator/>
      </w:r>
    </w:p>
  </w:endnote>
  <w:endnote w:id="0" w:type="continuationSeparator">
    <w:p w:rsidRDefault="00E60AB3" w:rsidR="007B36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AB3" w:rsidR="007B369A">
      <w:r>
        <w:separator/>
      </w:r>
    </w:p>
  </w:footnote>
  <w:footnote w:id="0" w:type="continuationSeparator">
    <w:p w:rsidRDefault="00E60AB3" w:rsidR="007B36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C1"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1905"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C1" w:rsidP="003A697B" w:rsidR="00F32BEA" w:rsidRPr="00237C81">
    <w:pPr>
      <w:pStyle w:val="Zaglavlje"/>
      <w:framePr w:y="1" w:xAlign="center" w:vAnchor="text" w:hAnchor="margin" w:wrap="around"/>
      <w:rPr>
        <w:rStyle w:val="Brojstranice"/>
        <w:rFonts w:hAnsi="Times New Roman" w:ascii="Times New Roman"/>
        <w:sz w:val="24"/>
        <w:szCs w:val="24"/>
        <w:lang w:val="hr-HR"/>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A1905">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E60AB3" w:rsidP="00587181" w:rsidR="00237C81" w:rsidRPr="00207A7E">
    <w:pPr>
      <w:pStyle w:val="Zaglavlje"/>
      <w:jc w:val="right"/>
      <w:rPr>
        <w:rFonts w:hAnsi="Times New Roman" w:ascii="Times New Roman"/>
        <w:sz w:val="24"/>
        <w:szCs w:val="24"/>
        <w:lang w:val="hr-HR"/>
      </w:rPr>
    </w:pPr>
    <w:r>
      <w:rPr>
        <w:rFonts w:hAnsi="Times New Roman" w:ascii="Times New Roman"/>
        <w:sz w:val="24"/>
        <w:szCs w:val="24"/>
      </w:rPr>
      <w:t xml:space="preserve">  Poslovni broj</w:t>
    </w:r>
    <w:r>
      <w:rPr>
        <w:rFonts w:hAnsi="Times New Roman" w:ascii="Times New Roman"/>
        <w:sz w:val="24"/>
        <w:szCs w:val="24"/>
        <w:lang w:val="hr-HR"/>
      </w:rPr>
      <w:t>:4</w:t>
    </w:r>
    <w:r w:rsidR="00D06CC1">
      <w:rPr>
        <w:rFonts w:hAnsi="Times New Roman" w:ascii="Times New Roman"/>
        <w:sz w:val="24"/>
        <w:szCs w:val="24"/>
      </w:rPr>
      <w:t>. St-</w:t>
    </w:r>
    <w:r w:rsidR="00207A7E">
      <w:rPr>
        <w:rFonts w:hAnsi="Times New Roman" w:ascii="Times New Roman"/>
        <w:sz w:val="24"/>
        <w:szCs w:val="24"/>
        <w:lang w:val="hr-HR"/>
      </w:rPr>
      <w:t>1001/2017-</w:t>
    </w:r>
    <w:r w:rsidR="00C37E74">
      <w:rPr>
        <w:rFonts w:hAnsi="Times New Roman" w:ascii="Times New Roman"/>
        <w:sz w:val="24"/>
        <w:szCs w:val="24"/>
        <w:lang w:val="hr-HR"/>
      </w:rPr>
      <w:t>28</w:t>
    </w:r>
  </w:p>
  <w:p w:rsidRDefault="00AA1905" w:rsidP="00587181" w:rsidR="00810B0E" w:rsidRPr="00810B0E">
    <w:pPr>
      <w:pStyle w:val="Zaglavlje"/>
      <w:jc w:val="right"/>
      <w:rPr>
        <w:rFonts w:hAnsi="Times New Roman" w:ascii="Times New Roman"/>
        <w:sz w:val="24"/>
        <w:szCs w:val="24"/>
        <w:lang w:val="hr-HR"/>
      </w:rPr>
    </w:pPr>
  </w:p>
  <w:p w:rsidRDefault="00D06CC1"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Pr>
        <w:rFonts w:hAnsi="Times New Roman" w:ascii="Times New Roman"/>
        <w:sz w:val="24"/>
        <w:szCs w:val="24"/>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6CC1"/>
    <w:rsid w:val="00066650"/>
    <w:rsid w:val="00085E7C"/>
    <w:rsid w:val="000B4D96"/>
    <w:rsid w:val="000D5416"/>
    <w:rsid w:val="000E6D83"/>
    <w:rsid w:val="00207A7E"/>
    <w:rsid w:val="0024181F"/>
    <w:rsid w:val="002C285B"/>
    <w:rsid w:val="003C2F22"/>
    <w:rsid w:val="00417EA6"/>
    <w:rsid w:val="0071519E"/>
    <w:rsid w:val="007B369A"/>
    <w:rsid w:val="007F7A84"/>
    <w:rsid w:val="00814EDB"/>
    <w:rsid w:val="00815142"/>
    <w:rsid w:val="00853B3E"/>
    <w:rsid w:val="00981D37"/>
    <w:rsid w:val="00A51DE9"/>
    <w:rsid w:val="00AA1905"/>
    <w:rsid w:val="00B7506F"/>
    <w:rsid w:val="00C37E74"/>
    <w:rsid w:val="00D06CC1"/>
    <w:rsid w:val="00D778AF"/>
    <w:rsid w:val="00D8632A"/>
    <w:rsid w:val="00DD0D50"/>
    <w:rsid w:val="00E60AB3"/>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6CC1"/>
    <w:rPr>
      <w:rFonts w:cs="Times New Roman" w:eastAsia="Calibri" w:hAnsi="Californian FB" w:ascii="Californian FB"/>
      <w:sz w:val="20"/>
      <w:szCs w:val="20"/>
    </w:rPr>
  </w:style>
  <w:style w:styleId="Naslov3" w:type="paragraph">
    <w:name w:val="heading 3"/>
    <w:basedOn w:val="Normal"/>
    <w:next w:val="Normal"/>
    <w:link w:val="Naslov3Char"/>
    <w:qFormat/>
    <w:rsid w:val="00D06CC1"/>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rsid w:val="00D06CC1"/>
    <w:rPr>
      <w:rFonts w:cs="Times New Roman" w:eastAsia="Arial Unicode MS"/>
      <w:b/>
      <w:szCs w:val="20"/>
      <w:lang w:val="x-none"/>
    </w:rPr>
  </w:style>
  <w:style w:styleId="Zaglavlje" w:type="paragraph">
    <w:name w:val="header"/>
    <w:basedOn w:val="Normal"/>
    <w:link w:val="ZaglavljeChar"/>
    <w:uiPriority w:val="99"/>
    <w:unhideWhenUsed/>
    <w:rsid w:val="00D06CC1"/>
    <w:pPr>
      <w:tabs>
        <w:tab w:pos="4536" w:val="center"/>
        <w:tab w:pos="9072" w:val="right"/>
      </w:tabs>
    </w:pPr>
    <w:rPr>
      <w:lang w:val="x-none"/>
    </w:rPr>
  </w:style>
  <w:style w:customStyle="true" w:styleId="ZaglavljeChar" w:type="character">
    <w:name w:val="Zaglavlje Char"/>
    <w:basedOn w:val="Zadanifontodlomka"/>
    <w:link w:val="Zaglavlje"/>
    <w:uiPriority w:val="99"/>
    <w:rsid w:val="00D06CC1"/>
    <w:rPr>
      <w:rFonts w:cs="Times New Roman" w:eastAsia="Calibri" w:hAnsi="Californian FB" w:ascii="Californian FB"/>
      <w:sz w:val="20"/>
      <w:szCs w:val="20"/>
      <w:lang w:val="x-none"/>
    </w:rPr>
  </w:style>
  <w:style w:styleId="Brojstranice" w:type="character">
    <w:name w:val="page number"/>
    <w:basedOn w:val="Zadanifontodlomka"/>
    <w:rsid w:val="00D06CC1"/>
  </w:style>
  <w:style w:styleId="Tekstbalonia" w:type="paragraph">
    <w:name w:val="Balloon Text"/>
    <w:basedOn w:val="Normal"/>
    <w:link w:val="TekstbaloniaChar"/>
    <w:uiPriority w:val="99"/>
    <w:semiHidden/>
    <w:unhideWhenUsed/>
    <w:rsid w:val="00D06C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6CC1"/>
    <w:rPr>
      <w:rFonts w:cs="Tahoma" w:eastAsia="Calibri" w:hAnsi="Tahoma" w:ascii="Tahoma"/>
      <w:sz w:val="16"/>
      <w:szCs w:val="16"/>
    </w:rPr>
  </w:style>
  <w:style w:styleId="Reetkatablice" w:type="table">
    <w:name w:val="Table Grid"/>
    <w:basedOn w:val="Obinatablica"/>
    <w:uiPriority w:val="59"/>
    <w:rsid w:val="00E60AB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E60AB3"/>
    <w:pPr>
      <w:tabs>
        <w:tab w:pos="4536" w:val="center"/>
        <w:tab w:pos="9072" w:val="right"/>
      </w:tabs>
    </w:pPr>
  </w:style>
  <w:style w:customStyle="true" w:styleId="PodnojeChar" w:type="character">
    <w:name w:val="Podnožje Char"/>
    <w:basedOn w:val="Zadanifontodlomka"/>
    <w:link w:val="Podnoje"/>
    <w:uiPriority w:val="99"/>
    <w:rsid w:val="00E60AB3"/>
    <w:rPr>
      <w:rFonts w:cs="Times New Roman" w:eastAsia="Calibri" w:hAnsi="Californian FB" w:ascii="Californian FB"/>
      <w:sz w:val="20"/>
      <w:szCs w:val="20"/>
    </w:rPr>
  </w:style>
  <w:style w:styleId="Tekstrezerviranogmjesta" w:type="character">
    <w:name w:val="Placeholder Text"/>
    <w:basedOn w:val="Zadanifontodlomka"/>
    <w:uiPriority w:val="99"/>
    <w:semiHidden/>
    <w:rsid w:val="00AA1905"/>
    <w:rPr>
      <w:color w:val="808080"/>
      <w:bdr w:space="0" w:sz="0" w:color="auto" w:val="none"/>
      <w:shd w:fill="auto" w:color="auto" w:val="clear"/>
    </w:rPr>
  </w:style>
  <w:style w:customStyle="true" w:styleId="eSPISCCParagraphDefaultFont" w:type="character">
    <w:name w:val="eSPIS_CC_Paragraph Default Font"/>
    <w:basedOn w:val="Zadanifontodlomka"/>
    <w:rsid w:val="00AA1905"/>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A1905"/>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A1905"/>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1905"/>
    <w:rPr>
      <w:rFonts w:cs="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AA190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CC1"/>
    <w:rPr>
      <w:rFonts w:ascii="Californian FB" w:cs="Times New Roman" w:eastAsia="Calibri" w:hAnsi="Californian FB"/>
      <w:sz w:val="20"/>
      <w:szCs w:val="20"/>
    </w:rPr>
  </w:style>
  <w:style w:styleId="Naslov3" w:type="paragraph">
    <w:name w:val="heading 3"/>
    <w:basedOn w:val="Normal"/>
    <w:next w:val="Normal"/>
    <w:link w:val="Naslov3Char"/>
    <w:qFormat/>
    <w:rsid w:val="00D06CC1"/>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rsid w:val="00D06CC1"/>
    <w:rPr>
      <w:rFonts w:cs="Times New Roman" w:eastAsia="Arial Unicode MS"/>
      <w:b/>
      <w:szCs w:val="20"/>
      <w:lang w:val="x-none"/>
    </w:rPr>
  </w:style>
  <w:style w:styleId="Zaglavlje" w:type="paragraph">
    <w:name w:val="header"/>
    <w:basedOn w:val="Normal"/>
    <w:link w:val="ZaglavljeChar"/>
    <w:uiPriority w:val="99"/>
    <w:unhideWhenUsed/>
    <w:rsid w:val="00D06CC1"/>
    <w:pPr>
      <w:tabs>
        <w:tab w:pos="4536" w:val="center"/>
        <w:tab w:pos="9072" w:val="right"/>
      </w:tabs>
    </w:pPr>
    <w:rPr>
      <w:lang w:val="x-none"/>
    </w:rPr>
  </w:style>
  <w:style w:customStyle="1" w:styleId="ZaglavljeChar" w:type="character">
    <w:name w:val="Zaglavlje Char"/>
    <w:basedOn w:val="Zadanifontodlomka"/>
    <w:link w:val="Zaglavlje"/>
    <w:uiPriority w:val="99"/>
    <w:rsid w:val="00D06CC1"/>
    <w:rPr>
      <w:rFonts w:ascii="Californian FB" w:cs="Times New Roman" w:eastAsia="Calibri" w:hAnsi="Californian FB"/>
      <w:sz w:val="20"/>
      <w:szCs w:val="20"/>
      <w:lang w:val="x-none"/>
    </w:rPr>
  </w:style>
  <w:style w:styleId="Brojstranice" w:type="character">
    <w:name w:val="page number"/>
    <w:basedOn w:val="Zadanifontodlomka"/>
    <w:rsid w:val="00D06CC1"/>
  </w:style>
  <w:style w:styleId="Tekstbalonia" w:type="paragraph">
    <w:name w:val="Balloon Text"/>
    <w:basedOn w:val="Normal"/>
    <w:link w:val="TekstbaloniaChar"/>
    <w:uiPriority w:val="99"/>
    <w:semiHidden/>
    <w:unhideWhenUsed/>
    <w:rsid w:val="00D06CC1"/>
    <w:rPr>
      <w:rFonts w:ascii="Tahoma" w:cs="Tahoma" w:hAnsi="Tahoma"/>
      <w:sz w:val="16"/>
      <w:szCs w:val="16"/>
    </w:rPr>
  </w:style>
  <w:style w:customStyle="1" w:styleId="TekstbaloniaChar" w:type="character">
    <w:name w:val="Tekst balončića Char"/>
    <w:basedOn w:val="Zadanifontodlomka"/>
    <w:link w:val="Tekstbalonia"/>
    <w:uiPriority w:val="99"/>
    <w:semiHidden/>
    <w:rsid w:val="00D06CC1"/>
    <w:rPr>
      <w:rFonts w:ascii="Tahoma" w:cs="Tahoma" w:eastAsia="Calibri" w:hAnsi="Tahoma"/>
      <w:sz w:val="16"/>
      <w:szCs w:val="16"/>
    </w:rPr>
  </w:style>
  <w:style w:styleId="Reetkatablice" w:type="table">
    <w:name w:val="Table Grid"/>
    <w:basedOn w:val="Obinatablica"/>
    <w:uiPriority w:val="59"/>
    <w:rsid w:val="00E60AB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E60AB3"/>
    <w:pPr>
      <w:tabs>
        <w:tab w:pos="4536" w:val="center"/>
        <w:tab w:pos="9072" w:val="right"/>
      </w:tabs>
    </w:pPr>
  </w:style>
  <w:style w:customStyle="1" w:styleId="PodnojeChar" w:type="character">
    <w:name w:val="Podnožje Char"/>
    <w:basedOn w:val="Zadanifontodlomka"/>
    <w:link w:val="Podnoje"/>
    <w:uiPriority w:val="99"/>
    <w:rsid w:val="00E60AB3"/>
    <w:rPr>
      <w:rFonts w:ascii="Californian FB" w:cs="Times New Roman" w:eastAsia="Calibri" w:hAnsi="Californian FB"/>
      <w:sz w:val="20"/>
      <w:szCs w:val="20"/>
    </w:rPr>
  </w:style>
  <w:style w:styleId="Tekstrezerviranogmjesta" w:type="character">
    <w:name w:val="Placeholder Text"/>
    <w:basedOn w:val="Zadanifontodlomka"/>
    <w:uiPriority w:val="99"/>
    <w:semiHidden/>
    <w:rsid w:val="00AA1905"/>
    <w:rPr>
      <w:color w:val="808080"/>
      <w:bdr w:color="auto" w:space="0" w:sz="0" w:val="none"/>
      <w:shd w:color="auto" w:fill="auto" w:val="clear"/>
    </w:rPr>
  </w:style>
  <w:style w:customStyle="1" w:styleId="eSPISCCParagraphDefaultFont" w:type="character">
    <w:name w:val="eSPIS_CC_Paragraph Default Font"/>
    <w:basedOn w:val="Zadanifontodlomka"/>
    <w:rsid w:val="00AA1905"/>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A1905"/>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A1905"/>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1905"/>
    <w:rPr>
      <w:rFonts w:ascii="Times New Roman" w:cs="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AA190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veljače 2019.</izvorni_sadrzaj>
    <derivirana_varijabla naziv="DomainObject.Predmet.DatumRjesavanja_1">8.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St-1001/2017</izvorni_sadrzaj>
    <derivirana_varijabla naziv="DomainObject.Predmet.OznakaBroj_1">St-1001/2017</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otustrankaFormated>
    <izvorni_sadrzaj>  AKRIL d.o.o., za proizvodnju i trgovinu</izvorni_sadrzaj>
    <derivirana_varijabla naziv="DomainObject.Predmet.ProtustrankaFormated_1">  AKRIL d.o.o., za proizvodnju i trgovinu</derivirana_varijabla>
  </DomainObject.Predmet.ProtustrankaFormated>
  <DomainObject.Predmet.ProtustrankaFormatedOIB>
    <izvorni_sadrzaj>  AKRIL d.o.o., za proizvodnju i trgovinu, OIB 44873360261</izvorni_sadrzaj>
    <derivirana_varijabla naziv="DomainObject.Predmet.ProtustrankaFormatedOIB_1">  AKRIL d.o.o., za proizvodnju i trgovinu, OIB 44873360261</derivirana_varijabla>
  </DomainObject.Predmet.ProtustrankaFormatedOIB>
  <DomainObject.Predmet.ProtustrankaFormatedWithAdress>
    <izvorni_sadrzaj> AKRIL d.o.o., za proizvodnju i trgovinu, Zoranićeva 10, 21210 Solin</izvorni_sadrzaj>
    <derivirana_varijabla naziv="DomainObject.Predmet.ProtustrankaFormatedWithAdress_1"> AKRIL d.o.o., za proizvodnju i trgovinu, Zoranićeva 10, 21210 Solin</derivirana_varijabla>
  </DomainObject.Predmet.ProtustrankaFormatedWithAdress>
  <DomainObject.Predmet.ProtustrankaFormatedWithAdressOIB>
    <izvorni_sadrzaj> AKRIL d.o.o., za proizvodnju i trgovinu, OIB 44873360261, Zoranićeva 10, 21210 Solin</izvorni_sadrzaj>
    <derivirana_varijabla naziv="DomainObject.Predmet.ProtustrankaFormatedWithAdressOIB_1"> AKRIL d.o.o., za proizvodnju i trgovinu, OIB 44873360261, Zoranićeva 10, 21210 Solin</derivirana_varijabla>
  </DomainObject.Predmet.ProtustrankaFormatedWithAdressOIB>
  <DomainObject.Predmet.ProtustrankaWithAdress>
    <izvorni_sadrzaj>AKRIL d.o.o., za proizvodnju i trgovinu Zoranićeva 10, 21210 Solin</izvorni_sadrzaj>
    <derivirana_varijabla naziv="DomainObject.Predmet.ProtustrankaWithAdress_1">AKRIL d.o.o., za proizvodnju i trgovinu Zoranićeva 10, 21210 Solin</derivirana_varijabla>
  </DomainObject.Predmet.ProtustrankaWithAdress>
  <DomainObject.Predmet.ProtustrankaWithAdressOIB>
    <izvorni_sadrzaj>AKRIL d.o.o., za proizvodnju i trgovinu, OIB 44873360261, Zoranićeva 10, 21210 Solin</izvorni_sadrzaj>
    <derivirana_varijabla naziv="DomainObject.Predmet.ProtustrankaWithAdressOIB_1">AKRIL d.o.o., za proizvodnju i trgovinu, OIB 44873360261, Zoranićeva 10, 21210 Solin</derivirana_varijabla>
  </DomainObject.Predmet.ProtustrankaWithAdressOIB>
  <DomainObject.Predmet.ProtustrankaNazivFormated>
    <izvorni_sadrzaj>AKRIL d.o.o., za proizvodnju i trgovinu</izvorni_sadrzaj>
    <derivirana_varijabla naziv="DomainObject.Predmet.ProtustrankaNazivFormated_1">AKRIL d.o.o., za proizvodnju i trgovinu</derivirana_varijabla>
  </DomainObject.Predmet.ProtustrankaNazivFormated>
  <DomainObject.Predmet.ProtustrankaNazivFormatedOIB>
    <izvorni_sadrzaj>AKRIL d.o.o., za proizvodnju i trgovinu, OIB 44873360261</izvorni_sadrzaj>
    <derivirana_varijabla naziv="DomainObject.Predmet.ProtustrankaNazivFormatedOIB_1">AKRIL d.o.o., za proizvodnju i trgovinu, OIB 44873360261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AKRIL d.o.o., za proizvodnju i trgovinu</item>
    </izvorni_sadrzaj>
    <derivirana_varijabla naziv="DomainObject.Predmet.ProtuStrankaListFormated_1">
      <item>AKRIL d.o.o., za proizvodnju i trgovinu</item>
    </derivirana_varijabla>
  </DomainObject.Predmet.ProtuStrankaListFormated>
  <DomainObject.Predmet.ProtuStrankaListFormatedOIB>
    <izvorni_sadrzaj>
      <item>AKRIL d.o.o., za proizvodnju i trgovinu, OIB 44873360261</item>
    </izvorni_sadrzaj>
    <derivirana_varijabla naziv="DomainObject.Predmet.ProtuStrankaListFormatedOIB_1">
      <item>AKRIL d.o.o., za proizvodnju i trgovinu, OIB 44873360261</item>
    </derivirana_varijabla>
  </DomainObject.Predmet.ProtuStrankaListFormatedOIB>
  <DomainObject.Predmet.ProtuStrankaListFormatedWithAdress>
    <izvorni_sadrzaj>
      <item>AKRIL d.o.o., za proizvodnju i trgovinu, Zoranićeva 10, 21210 Solin</item>
    </izvorni_sadrzaj>
    <derivirana_varijabla naziv="DomainObject.Predmet.ProtuStrankaListFormatedWithAdress_1">
      <item>AKRIL d.o.o., za proizvodnju i trgovinu, Zoranićeva 10, 21210 Solin</item>
    </derivirana_varijabla>
  </DomainObject.Predmet.ProtuStrankaListFormatedWithAdress>
  <DomainObject.Predmet.ProtuStrankaListFormatedWithAdressOIB>
    <izvorni_sadrzaj>
      <item>AKRIL d.o.o., za proizvodnju i trgovinu, OIB 44873360261, Zoranićeva 10, 21210 Solin</item>
    </izvorni_sadrzaj>
    <derivirana_varijabla naziv="DomainObject.Predmet.ProtuStrankaListFormatedWithAdressOIB_1">
      <item>AKRIL d.o.o., za proizvodnju i trgovinu, OIB 44873360261, Zoranićeva 10, 21210 Solin</item>
    </derivirana_varijabla>
  </DomainObject.Predmet.ProtuStrankaListFormatedWithAdressOIB>
  <DomainObject.Predmet.ProtuStrankaListNazivFormated>
    <izvorni_sadrzaj>
      <item>AKRIL d.o.o., za proizvodnju i trgovinu</item>
    </izvorni_sadrzaj>
    <derivirana_varijabla naziv="DomainObject.Predmet.ProtuStrankaListNazivFormated_1">
      <item>AKRIL d.o.o., za proizvodnju i trgovinu</item>
    </derivirana_varijabla>
  </DomainObject.Predmet.ProtuStrankaListNazivFormated>
  <DomainObject.Predmet.ProtuStrankaListNazivFormatedOIB>
    <izvorni_sadrzaj>
      <item>AKRIL d.o.o., za proizvodnju i trgovinu, OIB 44873360261</item>
    </izvorni_sadrzaj>
    <derivirana_varijabla naziv="DomainObject.Predmet.ProtuStrankaListNazivFormatedOIB_1">
      <item>AKRIL d.o.o., za proizvodnju i trgovinu, OIB 44873360261</item>
    </derivirana_varijabla>
  </DomainObject.Predmet.ProtuStrankaListNazivFormatedOIB>
  <DomainObject.Predmet.OstaliListFormated>
    <izvorni_sadrzaj>
      <item>Marina Matijević</item>
      <item>Županijsko državno odvjetništvo u Splitu punomoćnik sudionika u postupku RH, Ministarstvo financija RH</item>
    </izvorni_sadrzaj>
    <derivirana_varijabla naziv="DomainObject.Predmet.OstaliListFormated_1">
      <item>Marina Matijević</item>
      <item>Županijsko državno odvjetništvo u Splitu punomoćnik sudionika u postupku RH, Ministarstvo financija RH</item>
    </derivirana_varijabla>
  </DomainObject.Predmet.OstaliListFormated>
  <DomainObject.Predmet.OstaliListFormatedOIB>
    <izvorni_sadrzaj>
      <item>Marina Matijević, OIB 47688229081</item>
      <item>Županijsko državno odvjetništvo u Splitu, OIB 70793241859 punomoćnik sudionika u postupku RH, Ministarstvo financija RH</item>
    </izvorni_sadrzaj>
    <derivirana_varijabla naziv="DomainObject.Predmet.OstaliListFormatedOIB_1">
      <item>Marina Matijević, OIB 47688229081</item>
      <item>Županijsko državno odvjetništvo u Splitu, OIB 70793241859 punomoćnik sudionika u postupku RH, Ministarstvo financija RH</item>
    </derivirana_varijabla>
  </DomainObject.Predmet.OstaliListFormatedOIB>
  <DomainObject.Predmet.OstaliListFormatedWithAdress>
    <izvorni_sadrzaj>
      <item>Marina Matijević, Zoranićeva 10, 21210 Solin</item>
      <item>Županijsko državno odvjetništvo u Splitu, Gundulićeva 29a, 21000 Split punomoćnik sudionika u postupku RH, Ministarstvo financija RH</item>
    </izvorni_sadrzaj>
    <derivirana_varijabla naziv="DomainObject.Predmet.OstaliListFormatedWithAdress_1">
      <item>Marina Matijević, Zoranićeva 10, 21210 Solin</item>
      <item>Županijsko državno odvjetništvo u Splitu, Gundulićeva 29a, 21000 Split punomoćnik sudionika u postupku RH, Ministarstvo financija RH</item>
    </derivirana_varijabla>
  </DomainObject.Predmet.OstaliListFormatedWithAdress>
  <DomainObject.Predmet.OstaliListFormatedWithAdressOIB>
    <izvorni_sadrzaj>
      <item>Marina Matijević, OIB 47688229081, Zoranićeva 10, 21210 Solin</item>
      <item>Županijsko državno odvjetništvo u Splitu, OIB 70793241859, Gundulićeva 29a, 21000 Split punomoćnik sudionika u postupku RH, Ministarstvo financija RH</item>
    </izvorni_sadrzaj>
    <derivirana_varijabla naziv="DomainObject.Predmet.OstaliListFormatedWithAdressOIB_1">
      <item>Marina Matijević, OIB 47688229081, Zoranićeva 10, 21210 Solin</item>
      <item>Županijsko državno odvjetništvo u Splitu, OIB 70793241859, Gundulićeva 29a, 21000 Split punomoćnik sudionika u postupku RH, Ministarstvo financija RH</item>
    </derivirana_varijabla>
  </DomainObject.Predmet.OstaliListFormatedWithAdressOIB>
  <DomainObject.Predmet.OstaliListNazivFormated>
    <izvorni_sadrzaj>
      <item>Marina Matijević</item>
      <item>Županijsko državno odvjetništvo u Splitu</item>
    </izvorni_sadrzaj>
    <derivirana_varijabla naziv="DomainObject.Predmet.OstaliListNazivFormated_1">
      <item>Marina Matijević</item>
      <item>Županijsko državno odvjetništvo u Splitu</item>
    </derivirana_varijabla>
  </DomainObject.Predmet.OstaliListNazivFormated>
  <DomainObject.Predmet.OstaliListNazivFormatedOIB>
    <izvorni_sadrzaj>
      <item>Marina Matijević, OIB 47688229081</item>
      <item>Županijsko državno odvjetništvo u Splitu, OIB 70793241859</item>
    </izvorni_sadrzaj>
    <derivirana_varijabla naziv="DomainObject.Predmet.OstaliListNazivFormatedOIB_1">
      <item>Marina Matijević, OIB 47688229081</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AKRIL d.o.o., za proizvodnju i trgovinu</izvorni_sadrzaj>
    <derivirana_varijabla naziv="DomainObject.Predmet.ProtustrankaIDrugi_1">AKRIL d.o.o., za proizvodnju i trgovinu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AKRIL d.o.o., za proizvodnju i trgovinu, OIB 44873360261, Zoranićeva 10, 21210 Solin</izvorni_sadrzaj>
    <derivirana_varijabla naziv="DomainObject.Predmet.ProtustrankaIDrugiAdressOIB_1">AKRIL d.o.o., za proizvodnju i trgovinu, OIB 44873360261, Zoranićeva 10,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veljače 2019.</izvorni_sadrzaj>
    <derivirana_varijabla naziv="DomainObject.Predmet.OdlukaRjesenje.DatumDonosenjaOdluke_1">7.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St-1001/2017-24</izvorni_sadrzaj>
    <derivirana_varijabla naziv="DomainObject.Predmet.OdlukaRjesenje.Oznaka_1">St-1001/2017-24</derivirana_varijabla>
  </DomainObject.Predmet.OdlukaRjesenje.Oznaka>
  <DomainObject.Predmet.SudioniciListNaziv>
    <izvorni_sadrzaj>
      <item>AKRIL d.o.o., za proizvodnju i trgovinu</item>
      <item>FINANCIJSKA AGENCIJA, RC SPLIT</item>
      <item>RH, Ministarstvo financija RH</item>
      <item>Marina Matijević</item>
      <item>Županijsko državno odvjetništvo u Splitu</item>
    </izvorni_sadrzaj>
    <derivirana_varijabla naziv="DomainObject.Predmet.SudioniciListNaziv_1">
      <item>AKRIL d.o.o., za proizvodnju i trgovinu</item>
      <item>FINANCIJSKA AGENCIJA, RC SPLIT</item>
      <item>RH, Ministarstvo financija RH</item>
      <item>Marina Matijević</item>
      <item>Županijsko državno odvjetništvo u Splitu</item>
    </derivirana_varijabla>
  </DomainObject.Predmet.SudioniciListNaziv>
  <DomainObject.Predmet.SudioniciListAdressOIB>
    <izvorni_sadrzaj>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OIB 70793241859, Gundulićeva 29a,21000 Split</item>
    </izvorni_sadrzaj>
    <derivirana_varijabla naziv="DomainObject.Predmet.SudioniciListAdressOIB_1">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44873360261</item>
      <item>, OIB 85821130368</item>
      <item>, OIB 18683136487</item>
      <item>, OIB 47688229081</item>
      <item>, OIB 70793241859</item>
    </izvorni_sadrzaj>
    <derivirana_varijabla naziv="DomainObject.Predmet.SudioniciListNazivOIB_1">
      <item>, OIB 44873360261</item>
      <item>, OIB 85821130368</item>
      <item>, OIB 18683136487</item>
      <item>, OIB 47688229081</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St-1001/2017-25</izvorni_sadrzaj>
    <derivirana_varijabla naziv="DomainObject.PredzadnjaOdlukaIzPredmeta.Oznaka_1">St-1001/2017-25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1178</properties:Words>
  <properties:Characters>6803</properties:Characters>
  <properties:Lines>142</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 E P U B L I K A   H R V A T S K A</vt:lpstr>
      <vt:lpstr>    R J E Š E N J E</vt:lpstr>
      <vt:lpstr>        I. Stečajnom upravitelju Marku Bitangi iz Podstrane, Stjepana Radića 49, OIB: 53</vt:lpstr>
      <vt:lpstr>        </vt:lpstr>
    </vt:vector>
  </properties:TitlesOfParts>
  <properties:LinksUpToDate>false</properties:LinksUpToDate>
  <properties:CharactersWithSpaces>8021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2019-01-16T12:15:00Z</dcterms:created>
  <dc:creator>Katarina Mikulić</dc:creator>
  <cp:lastModifiedBy>Katarina Mikulić</cp:lastModifiedBy>
  <cp:lastPrinted>2019-02-11T08:08:00Z</cp:lastPrinted>
  <dcterms:modified xmlns:xsi="http://www.w3.org/2001/XMLSchema-instance" xsi:type="dcterms:W3CDTF">2019-02-11T08:08:00Z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PRIVREMENOG STEČAJNOG UPRAVITELJA.docx)</vt:lpwstr>
  </prop:property>
  <prop:property name="CC_coloring" pid="4" fmtid="{D5CDD505-2E9C-101B-9397-08002B2CF9AE}">
    <vt:bool>false</vt:bool>
  </prop:property>
  <prop:property name="BrojStranica" pid="5" fmtid="{D5CDD505-2E9C-101B-9397-08002B2CF9AE}">
    <vt:i4>3</vt:i4>
  </prop:property>
</prop:Properties>
</file>