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theme/themeOverride1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theme/themeOverride6.xml" ContentType="application/vnd.openxmlformats-officedocument.themeOverrid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218" w14:paraId="ba59218" w:rsidRDefault="00AE649C" w:rsidP="00C90371" w:rsidR="00AE649C" w:rsidRPr="00B76F3C">
      <w:pPr>
        <w:pStyle w:val="Naslov3"/>
        <w:ind w:firstLine="0" w:left="0"/>
        <w15:collapsed w:val="false"/>
      </w:pPr>
    </w:p>
    <w:p w:rsidRDefault="00531A8F" w:rsidP="00C90371" w:rsidR="00531A8F">
      <w:pPr>
        <w:pStyle w:val="SudNaziv"/>
        <w:rPr>
          <w:rFonts w:cs="Times New Roman" w:eastAsia="Calibri"/>
        </w:rPr>
      </w:pPr>
    </w:p>
    <w:p w:rsidRDefault="00531A8F" w:rsidP="00C90371" w:rsidR="00C90371" w:rsidRPr="00C9037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90371" w:rsidRPr="00C90371">
        <w:rPr>
          <w:rFonts w:cs="Times New Roman" w:eastAsia="Calibri"/>
        </w:rPr>
        <w:t>VOĆNJAK  d.o.o.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Matice Hrvatske 4/I </w:t>
      </w:r>
      <w:bookmarkStart w:name="_GoBack" w:id="0"/>
      <w:bookmarkEnd w:id="0"/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43 000 Bjelovar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OIB: 52871551229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sz w:val="28"/>
        </w:rPr>
      </w:pP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  <w:sz w:val="28"/>
        </w:rPr>
      </w:pPr>
      <w:r w:rsidRPr="00C90371">
        <w:rPr>
          <w:rFonts w:cs="Times New Roman" w:eastAsia="Calibri"/>
          <w:sz w:val="28"/>
        </w:rPr>
        <w:t xml:space="preserve">PLAN FINANCIJSKOG I OPERATIVNOG RESTRUKTURIRANJA </w:t>
      </w: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  <w:r w:rsidRPr="00C90371">
        <w:rPr>
          <w:rFonts w:cs="Times New Roman" w:eastAsia="Calibri" w:hAnsi="Calibri" w:ascii="Calibri"/>
          <w:noProof/>
          <w:sz w:val="22"/>
          <w:szCs w:val="22"/>
          <w:lang w:eastAsia="hr-HR"/>
        </w:rPr>
        <w:drawing>
          <wp:inline distR="0" distL="0" distB="0" distT="0">
            <wp:extent cy="3676650" cx="5524500"/>
            <wp:effectExtent b="0" r="0" t="0" l="19050"/>
            <wp:docPr descr="Slikovni rezultat za vo&amp;cacute;njak d.o.o.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vo&amp;cacute;njak d.o.o.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76650" cx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  <w:r w:rsidRPr="00C90371">
        <w:rPr>
          <w:rFonts w:cs="Times New Roman" w:eastAsia="Calibri"/>
        </w:rPr>
        <w:t>Bjelovaru, 18. kolovoz 2016.</w:t>
      </w: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  <w:r w:rsidRPr="00C90371">
        <w:rPr>
          <w:rFonts w:cs="Times New Roman" w:eastAsia="Calibri"/>
        </w:rPr>
        <w:t>SADRŽAJ</w:t>
      </w:r>
    </w:p>
    <w:sdt>
      <w:sdtPr>
        <w:rPr>
          <w:rFonts w:cs="Times New Roman" w:eastAsia="Calibri" w:hAnsi="Calibri" w:ascii="Calibri"/>
        </w:rPr>
        <w:id w:val="14130439"/>
        <w:docPartObj>
          <w:docPartGallery w:val="Table of Contents"/>
          <w:docPartUnique/>
        </w:docPartObj>
      </w:sdtPr>
      <w:sdtEndPr/>
      <w:sdtContent>
        <w:p w:rsidRDefault="00C90371" w:rsidP="00C90371" w:rsidR="00C90371" w:rsidRPr="00C90371">
          <w:pPr>
            <w:keepNext/>
            <w:keepLines/>
            <w:spacing w:lineRule="auto" w:line="276" w:after="0" w:before="480"/>
            <w:rPr>
              <w:rFonts w:cs="Times New Roman" w:eastAsia="Times New Roman"/>
              <w:b/>
              <w:bCs/>
              <w:lang w:val="en-US"/>
            </w:rPr>
          </w:pPr>
        </w:p>
        <w:p w:rsidRDefault="00C90371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r w:rsidRPr="00C90371">
            <w:rPr>
              <w:rFonts w:cs="Times New Roman" w:eastAsia="Calibri"/>
            </w:rPr>
            <w:fldChar w:fldCharType="begin"/>
          </w:r>
          <w:r w:rsidRPr="00C90371">
            <w:rPr>
              <w:rFonts w:cs="Times New Roman" w:eastAsia="Calibri"/>
            </w:rPr>
            <w:instrText xml:space="preserve"> TOC \o "1-4" \h \z \u </w:instrText>
          </w:r>
          <w:r w:rsidRPr="00C90371">
            <w:rPr>
              <w:rFonts w:cs="Times New Roman" w:eastAsia="Calibri"/>
            </w:rPr>
            <w:fldChar w:fldCharType="separate"/>
          </w:r>
          <w:hyperlink w:anchor="_Toc459304531" w:history="true">
            <w:r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1. OPIS ČINJENICA I OKOLNOSTI IZ KOJIH PROIZLAZI POSTOJANJE UVJETA ZA OTVARANJE POSTUPKA PREDSTEČAJNE NAGODBE</w:t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_Toc459304531 \h </w:instrText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3</w:t>
            </w:r>
            <w:r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880" w:val="left"/>
              <w:tab w:pos="9062" w:leader="dot" w:val="right"/>
            </w:tabs>
            <w:spacing w:lineRule="auto" w:line="276" w:after="100"/>
            <w:ind w:left="22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2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1.1.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Opći podaci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_Toc459304532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3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1320" w:val="left"/>
              <w:tab w:pos="9062" w:leader="dot" w:val="right"/>
            </w:tabs>
            <w:spacing w:lineRule="auto" w:line="276" w:after="100"/>
            <w:ind w:left="44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3" w:history="true">
            <w:r w:rsidR="00C90371" w:rsidRPr="00C90371">
              <w:rPr>
                <w:rFonts w:cs="Times New Roman" w:eastAsia="Times New Roman"/>
                <w:noProof/>
                <w:color w:val="0000FF"/>
                <w:sz w:val="22"/>
                <w:szCs w:val="22"/>
                <w:u w:val="single"/>
                <w:lang w:eastAsia="hr-HR"/>
              </w:rPr>
              <w:t>1.1.1.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Times New Roman"/>
                <w:noProof/>
                <w:color w:val="0000FF"/>
                <w:sz w:val="22"/>
                <w:szCs w:val="22"/>
                <w:u w:val="single"/>
                <w:lang w:eastAsia="hr-HR"/>
              </w:rPr>
              <w:t>Predmet poslovanja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_Toc459304533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5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1320" w:val="left"/>
              <w:tab w:pos="9062" w:leader="dot" w:val="right"/>
            </w:tabs>
            <w:spacing w:lineRule="auto" w:line="276" w:after="100"/>
            <w:ind w:left="44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4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1.1.2.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Uprava društva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_Toc459304534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5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1320" w:val="left"/>
              <w:tab w:pos="9062" w:leader="dot" w:val="right"/>
            </w:tabs>
            <w:spacing w:lineRule="auto" w:line="276" w:after="100"/>
            <w:ind w:left="44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5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1.1.3.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Vlasnička struktura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_Toc459304535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6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1320" w:val="left"/>
              <w:tab w:pos="9062" w:leader="dot" w:val="right"/>
            </w:tabs>
            <w:spacing w:lineRule="auto" w:line="276" w:after="100"/>
            <w:ind w:left="44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6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1.1.4.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Analiza zaposlenih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_Toc459304536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7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880" w:val="left"/>
              <w:tab w:pos="9062" w:leader="dot" w:val="right"/>
            </w:tabs>
            <w:spacing w:lineRule="auto" w:line="276" w:after="100"/>
            <w:ind w:left="22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7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1.2.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Operativno poslovanje i tržišna situacija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_Toc459304537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9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1540" w:val="left"/>
              <w:tab w:pos="9062" w:leader="dot" w:val="right"/>
            </w:tabs>
            <w:spacing w:lineRule="auto" w:line="276" w:after="100"/>
            <w:ind w:left="66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8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1.2.1.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Izvješće o poslovnom i financijskom stanju dužnika VOĆNJAK  d.o.o., Bjelovar, na temelju financijskog izvještaja sa stanjem na dan 30.06.2016. godine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_Toc459304538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11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880" w:val="left"/>
              <w:tab w:pos="9062" w:leader="dot" w:val="right"/>
            </w:tabs>
            <w:spacing w:lineRule="auto" w:line="276" w:after="100"/>
            <w:ind w:left="22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39" w:history="true"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1.3.</w:t>
            </w:r>
            <w:r w:rsidR="00C90371" w:rsidRPr="00C90371">
              <w:rPr>
                <w:rFonts w:cs="Times New Roman" w:eastAsia="Times New Roman" w:hAnsi="Calibri" w:ascii="Calibri"/>
                <w:noProof/>
                <w:sz w:val="22"/>
                <w:szCs w:val="22"/>
                <w:lang w:eastAsia="hr-HR"/>
              </w:rPr>
              <w:tab/>
            </w:r>
            <w:r w:rsidR="00C90371" w:rsidRPr="00C90371">
              <w:rPr>
                <w:rFonts w:cs="Times New Roman" w:eastAsia="Calibri"/>
                <w:noProof/>
                <w:color w:val="0000FF"/>
                <w:sz w:val="22"/>
                <w:szCs w:val="22"/>
                <w:u w:val="single"/>
              </w:rPr>
              <w:t>Opis činjenica iz kojih proizlazi postojanje uvjeta za otvaranje postupaka predstečajne nagodbe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_Toc459304539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18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0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2. IZRAČUN MANJKA LIKVIDNIH SREDSTAVA NA DAN PRILOŽENIH FINANCIJSKIH IZVJEŠTAJA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_Toc459304540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19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1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3. OPIS MJERA FINANCIJSKOG RESTRUKTURIRANJA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_Toc459304541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20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2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4. OPIS MJERA OPERATIVNOG RESTRUKTURIRANJA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_Toc459304542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29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3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5. PLAN POSLOVANJA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_Toc459304543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30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4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6. PLANIRANA BILANCA NA ZADNJI DAN RAZDOBLJA ZA KOJE JE SASTAVLJEN PLAN POSLOVANJA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_Toc459304544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34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5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7. ANALIZA SVIH TRAŽBINA PREMA VISINI I VRSTI (TRAŽBINE RADNIKA I PRIJAŠNJIH DUŽNIKOVIH RADNIKA, IZLUČNA PRAVA, RAZLUČNA PRAVA, TRAŽBINE ZA KOJE SE VODI POSTUPAK, NEOSIGURANE TRAŽBINE I DRUGE TRAŽBINE)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_Toc459304545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35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6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8. IZRAČUN TROŠKOVA RESTRUKTURIRANJA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_Toc459304546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45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531A8F" w:rsidP="00C90371" w:rsidR="00C90371" w:rsidRPr="00C90371">
          <w:pPr>
            <w:tabs>
              <w:tab w:pos="9062" w:leader="dot" w:val="right"/>
            </w:tabs>
            <w:spacing w:lineRule="auto" w:line="276" w:after="100"/>
            <w:rPr>
              <w:rFonts w:cs="Times New Roman" w:eastAsia="Times New Roman" w:hAnsi="Calibri" w:ascii="Calibri"/>
              <w:noProof/>
              <w:sz w:val="22"/>
              <w:szCs w:val="22"/>
              <w:lang w:eastAsia="hr-HR"/>
            </w:rPr>
          </w:pPr>
          <w:hyperlink w:anchor="_Toc459304547" w:history="true">
            <w:r w:rsidR="00C90371" w:rsidRPr="00C90371">
              <w:rPr>
                <w:rFonts w:cs="Times New Roman" w:eastAsia="Calibri" w:hAnsi="Calibri" w:ascii="Calibri"/>
                <w:noProof/>
                <w:color w:val="0000FF"/>
                <w:sz w:val="22"/>
                <w:szCs w:val="22"/>
                <w:u w:val="single"/>
              </w:rPr>
              <w:t>9. USPOREDBA S OČEKIVANIM NAMIRENJEM U SLUČAJU STEČAJA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ab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begin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instrText xml:space="preserve"> PAGEREF _Toc459304547 \h </w:instrTex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separate"/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t>46</w:t>
            </w:r>
            <w:r w:rsidR="00C90371" w:rsidRPr="00C90371">
              <w:rPr>
                <w:rFonts w:cs="Times New Roman" w:eastAsia="Calibri" w:hAnsi="Calibri" w:ascii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Default="00C90371" w:rsidP="00C90371" w:rsidR="00C90371" w:rsidRPr="00C90371">
          <w:pPr>
            <w:spacing w:lineRule="auto" w:line="276" w:after="200"/>
            <w:rPr>
              <w:rFonts w:cs="Times New Roman" w:eastAsia="Calibri"/>
            </w:rPr>
          </w:pPr>
          <w:r w:rsidRPr="00C90371">
            <w:rPr>
              <w:rFonts w:cs="Times New Roman" w:eastAsia="Calibri"/>
            </w:rPr>
            <w:fldChar w:fldCharType="end"/>
          </w:r>
        </w:p>
      </w:sdtContent>
    </w:sdt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br w:type="page"/>
      </w: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46" w:id="1"/>
      <w:bookmarkStart w:name="_Toc432416048" w:id="2"/>
      <w:bookmarkStart w:name="_Toc459304531" w:id="3"/>
      <w:r w:rsidRPr="00C90371">
        <w:rPr>
          <w:rFonts w:cs="Times New Roman" w:eastAsia="Times New Roman"/>
          <w:b/>
          <w:bCs/>
        </w:rPr>
        <w:lastRenderedPageBreak/>
        <w:t>1. OPIS ČINJENICA I OKOLNOSTI IZ KOJIH PROIZLAZI POSTOJANJE UVJETA ZA OTVARANJE POSTUPKA PREDSTEČAJNE NAGODBE</w:t>
      </w:r>
      <w:bookmarkEnd w:id="1"/>
      <w:bookmarkEnd w:id="2"/>
      <w:bookmarkEnd w:id="3"/>
    </w:p>
    <w:p w:rsidRDefault="00C90371" w:rsidP="00C90371" w:rsidR="00C90371" w:rsidRPr="00C90371">
      <w:pPr>
        <w:keepNext/>
        <w:keepLines/>
        <w:spacing w:lineRule="auto" w:line="276" w:after="0" w:before="200"/>
        <w:ind w:hanging="360" w:left="720"/>
        <w:outlineLvl w:val="1"/>
        <w:rPr>
          <w:rFonts w:cs="Times New Roman" w:eastAsia="Times New Roman"/>
          <w:b/>
          <w:bCs/>
        </w:rPr>
      </w:pPr>
      <w:bookmarkStart w:name="_Toc430627147" w:id="4"/>
      <w:bookmarkStart w:name="_Toc432416049" w:id="5"/>
      <w:bookmarkStart w:name="_Toc459304532" w:id="6"/>
      <w:r w:rsidRPr="00C90371">
        <w:rPr>
          <w:rFonts w:cs="Times New Roman" w:eastAsia="Times New Roman"/>
          <w:b/>
          <w:bCs/>
        </w:rPr>
        <w:t>Opći podaci</w:t>
      </w:r>
      <w:bookmarkEnd w:id="4"/>
      <w:bookmarkEnd w:id="5"/>
      <w:bookmarkEnd w:id="6"/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Naziv: VOĆNJAK d.o.o.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Sjedište: Matice Hrvatske 4/I, 43 000 Bjelovar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MBS: 030104368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OIB: 52871551229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Šifra NKD-a: </w:t>
      </w:r>
      <w:r w:rsidRPr="00C90371">
        <w:rPr>
          <w:rFonts w:cs="Times New Roman" w:eastAsia="Calibri"/>
        </w:rPr>
        <w:tab/>
        <w:t xml:space="preserve">01.24 Uzgoj </w:t>
      </w:r>
      <w:proofErr w:type="spellStart"/>
      <w:r w:rsidRPr="00C90371">
        <w:rPr>
          <w:rFonts w:cs="Times New Roman" w:eastAsia="Calibri"/>
        </w:rPr>
        <w:t>jezgričavog</w:t>
      </w:r>
      <w:proofErr w:type="spellEnd"/>
      <w:r w:rsidRPr="00C90371">
        <w:rPr>
          <w:rFonts w:cs="Times New Roman" w:eastAsia="Calibri"/>
        </w:rPr>
        <w:t xml:space="preserve"> i </w:t>
      </w:r>
      <w:proofErr w:type="spellStart"/>
      <w:r w:rsidRPr="00C90371">
        <w:rPr>
          <w:rFonts w:cs="Times New Roman" w:eastAsia="Calibri"/>
        </w:rPr>
        <w:t>koštuničavog</w:t>
      </w:r>
      <w:proofErr w:type="spellEnd"/>
      <w:r w:rsidRPr="00C90371">
        <w:rPr>
          <w:rFonts w:cs="Times New Roman" w:eastAsia="Calibri"/>
        </w:rPr>
        <w:t xml:space="preserve"> voća (NKD 2007)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Datum osnivanja: 16.06.12009. godine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Osnivači: 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VRT društvo s ograničenom odgovornošću za proizvodnju, sjemenarstvo, trgovinu i usluge, pod MBS: 010040017, upisan kod: Trgovački sud u Bjelovaru, OIB: 68416812428 </w:t>
      </w:r>
    </w:p>
    <w:p w:rsidRDefault="00C90371" w:rsidP="00C90371" w:rsidR="00C90371" w:rsidRPr="00C90371">
      <w:pPr>
        <w:spacing w:lineRule="auto" w:line="360" w:after="200"/>
        <w:ind w:left="708"/>
        <w:rPr>
          <w:rFonts w:cs="Times New Roman" w:eastAsia="Calibri"/>
        </w:rPr>
      </w:pPr>
      <w:r w:rsidRPr="00C90371">
        <w:rPr>
          <w:rFonts w:cs="Times New Roman" w:eastAsia="Calibri"/>
        </w:rPr>
        <w:t>Bjelovar, Matice Hrvatske 4/I</w:t>
      </w:r>
    </w:p>
    <w:p w:rsidRDefault="00C90371" w:rsidP="00C90371" w:rsidR="00C90371" w:rsidRPr="00C90371">
      <w:pPr>
        <w:spacing w:lineRule="auto" w:line="360" w:after="200"/>
        <w:ind w:left="1416"/>
        <w:rPr>
          <w:rFonts w:cs="Times New Roman" w:eastAsia="Calibri"/>
        </w:rPr>
      </w:pPr>
      <w:r w:rsidRPr="00C90371">
        <w:rPr>
          <w:rFonts w:cs="Times New Roman" w:eastAsia="Calibri"/>
        </w:rPr>
        <w:t>- član društva</w:t>
      </w:r>
    </w:p>
    <w:p w:rsidRDefault="00C90371" w:rsidP="00C90371" w:rsidR="00C90371" w:rsidRPr="00C90371">
      <w:pPr>
        <w:spacing w:lineRule="auto" w:line="360" w:after="200"/>
        <w:ind w:left="1416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Osnivački akt: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Društveni ugovor usvojen dana 16.06.2009. god.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Izmjena Društvenog ugovora od 30.06.2009.g. kojom se mijenja čl. 5. Društvenog ugovora u odnosu na predmet poslovanja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Društveni ugovor od dana 30.06.2009. godine izmijenjen je odlukom od 17.05.2010. godine u članku 1. o članovima društva te čl.6., 7. i 9. o temeljnom kapitalu i poslovnim udjelima. Čistopis Društvenog ugovora dostavljen je Trgovačkom sudu.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>Odlukom o promjeni sjedišta od 13.12.2013. godine, osnivač je promijenio sjedište društva.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Izjavom o osnivanju - potpuni tekst od 13.12.2013. godine, osnivač je promijenio u potpunosti društveni ugovor o osnivanju od 17.5.2010. godine i usvojio ga u formi Izjave o osnivanju.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Izjava o osnivanju d.o.o. od 13.12.2013. godine - potpuni tekst.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Temeljni kapital:  20.000,00 kuna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Osobe ovlaštene za zastupanje: 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Josip Belošević, OIB: 88477086610 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Bjelovar, Krste Frankopana 70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direktor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zastupa društvo pojedinačno bez ograničenja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Snježana Mirić Philips, OIB: 58305904729 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Vinkovci, Antuna Starčevića 19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prokurist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zastupa pojedinačno do iznosa od 10.000,00 kn, a preko tog iznosa uz jednog direktora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Domagoj Belošević, OIB: 44070294656 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Bjelovar, Krste Frankopana 70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direktor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- zastupa društvo samostalno i neograničeno, imenovan Odlukom o razrješenju i imenovanju direktora od 13.12.2013. godine</w:t>
      </w: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ind w:left="708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Times New Roman"/>
          <w:lang w:eastAsia="hr-HR"/>
        </w:rPr>
      </w:pPr>
      <w:r w:rsidRPr="00C90371">
        <w:rPr>
          <w:rFonts w:cs="Times New Roman" w:eastAsia="Times New Roman"/>
          <w:lang w:eastAsia="hr-HR"/>
        </w:rPr>
        <w:t>Broj zaposlenih na dan (30.06.2016.): 2</w:t>
      </w: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after="200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keepNext/>
        <w:keepLines/>
        <w:spacing w:lineRule="auto" w:line="276" w:after="0" w:before="200"/>
        <w:ind w:hanging="360" w:left="720"/>
        <w:outlineLvl w:val="2"/>
        <w:rPr>
          <w:rFonts w:cs="Times New Roman" w:eastAsia="Times New Roman"/>
          <w:b/>
          <w:bCs/>
          <w:lang w:eastAsia="hr-HR"/>
        </w:rPr>
      </w:pPr>
      <w:bookmarkStart w:name="_Toc430627148" w:id="7"/>
      <w:bookmarkStart w:name="_Toc432416050" w:id="8"/>
      <w:bookmarkStart w:name="_Toc459304533" w:id="9"/>
      <w:r w:rsidRPr="00C90371">
        <w:rPr>
          <w:rFonts w:cs="Times New Roman" w:eastAsia="Times New Roman"/>
          <w:b/>
          <w:bCs/>
          <w:lang w:eastAsia="hr-HR"/>
        </w:rPr>
        <w:t>Predmet poslovanja</w:t>
      </w:r>
      <w:bookmarkEnd w:id="7"/>
      <w:bookmarkEnd w:id="8"/>
      <w:bookmarkEnd w:id="9"/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  <w:lang w:eastAsia="hr-HR"/>
        </w:rPr>
        <w:br/>
        <w:t>D</w:t>
      </w:r>
      <w:r w:rsidRPr="00C90371">
        <w:rPr>
          <w:rFonts w:cs="Times New Roman" w:eastAsia="Calibri"/>
        </w:rPr>
        <w:t xml:space="preserve">ruštvo VOĆNJAK d.o.o. je registrirano za sljedeće djelatnosti: 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*</w:t>
      </w:r>
      <w:r w:rsidRPr="00C90371">
        <w:rPr>
          <w:rFonts w:cs="Times New Roman" w:eastAsia="Calibri"/>
        </w:rPr>
        <w:tab/>
        <w:t xml:space="preserve">Proizvodnja voća i to: jabuka, krušaka, marelica, jagoda, trešanja, bresaka i šljiva 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*</w:t>
      </w:r>
      <w:r w:rsidRPr="00C90371">
        <w:rPr>
          <w:rFonts w:cs="Times New Roman" w:eastAsia="Calibri"/>
        </w:rPr>
        <w:tab/>
        <w:t xml:space="preserve">Proizvodnja jestivog </w:t>
      </w:r>
      <w:proofErr w:type="spellStart"/>
      <w:r w:rsidRPr="00C90371">
        <w:rPr>
          <w:rFonts w:cs="Times New Roman" w:eastAsia="Calibri"/>
        </w:rPr>
        <w:t>orašastog</w:t>
      </w:r>
      <w:proofErr w:type="spellEnd"/>
      <w:r w:rsidRPr="00C90371">
        <w:rPr>
          <w:rFonts w:cs="Times New Roman" w:eastAsia="Calibri"/>
        </w:rPr>
        <w:t xml:space="preserve"> voća i to: orah i lješnjak 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*</w:t>
      </w:r>
      <w:r w:rsidRPr="00C90371">
        <w:rPr>
          <w:rFonts w:cs="Times New Roman" w:eastAsia="Calibri"/>
        </w:rPr>
        <w:tab/>
        <w:t xml:space="preserve">Kupnja i prodaja robe na domaćem i inozemnom tržištu 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*</w:t>
      </w:r>
      <w:r w:rsidRPr="00C90371">
        <w:rPr>
          <w:rFonts w:cs="Times New Roman" w:eastAsia="Calibri"/>
        </w:rPr>
        <w:tab/>
        <w:t>Pružanje usluga u trgovini u svrhu ostvarivanja dobiti ili drugog gospodarskog učinka na domaćem ili inozemnom tržištu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360" w:before="240"/>
        <w:ind w:hanging="360" w:left="720"/>
        <w:outlineLvl w:val="2"/>
        <w:rPr>
          <w:rFonts w:cs="Times New Roman" w:eastAsia="Times New Roman"/>
          <w:b/>
          <w:bCs/>
        </w:rPr>
      </w:pPr>
      <w:bookmarkStart w:name="_Toc430627149" w:id="10"/>
      <w:bookmarkStart w:name="_Toc432416051" w:id="11"/>
      <w:bookmarkStart w:name="_Toc459304534" w:id="12"/>
      <w:r w:rsidRPr="00C90371">
        <w:rPr>
          <w:rFonts w:cs="Times New Roman" w:eastAsia="Times New Roman"/>
          <w:b/>
          <w:bCs/>
        </w:rPr>
        <w:t>Uprava društva</w:t>
      </w:r>
      <w:bookmarkEnd w:id="10"/>
      <w:bookmarkEnd w:id="11"/>
      <w:bookmarkEnd w:id="12"/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Osobe ovlaštene za zastupanje su Josip Belošević, OIB: 88477086610, Bjelovar, Krste Frankopana 70, koji vrši funkciju direktora te zastupa društvo pojedinačno bez ograničenja, Snježana Mirić Philips, OIB: 58305904729, Vinkovci, Antuna Starčevića 19, koja vrši funkciju prokurista te zastupa pojedinačno do iznosa od 10.000,00 kn, a preko tog iznosa uz jednog direktora i Domagoj Belošević, OIB: 44070294656, Bjelovar, Krste Frankopana 70, koji vrši funkciju direktora te zastupa društvo samostalno i neograničeno, imenovan Odlukom o razrješenju i imenovanju direktora od 13.12.2013. godine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br/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360" w:before="240"/>
        <w:ind w:hanging="360" w:left="720"/>
        <w:jc w:val="both"/>
        <w:outlineLvl w:val="2"/>
        <w:rPr>
          <w:rFonts w:cs="Times New Roman" w:eastAsia="Times New Roman"/>
          <w:b/>
          <w:bCs/>
        </w:rPr>
      </w:pPr>
      <w:bookmarkStart w:name="_Toc430627150" w:id="13"/>
      <w:bookmarkStart w:name="_Toc432416052" w:id="14"/>
      <w:bookmarkStart w:name="_Toc459304535" w:id="15"/>
      <w:r w:rsidRPr="00C90371">
        <w:rPr>
          <w:rFonts w:cs="Times New Roman" w:eastAsia="Times New Roman"/>
          <w:b/>
          <w:bCs/>
        </w:rPr>
        <w:t>Vlasnička struktura</w:t>
      </w:r>
      <w:bookmarkEnd w:id="13"/>
      <w:bookmarkEnd w:id="14"/>
      <w:bookmarkEnd w:id="15"/>
      <w:r w:rsidRPr="00C90371">
        <w:rPr>
          <w:rFonts w:cs="Times New Roman" w:eastAsia="Times New Roman"/>
          <w:b/>
          <w:bCs/>
        </w:rPr>
        <w:t xml:space="preserve">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lang w:eastAsia="hr-HR"/>
        </w:rPr>
      </w:pPr>
      <w:r w:rsidRPr="00C90371">
        <w:rPr>
          <w:rFonts w:cs="Times New Roman" w:eastAsia="Calibri"/>
        </w:rPr>
        <w:t xml:space="preserve">Društvo je u 100% privatnom vlasništvu, vlasnik društva je VRT društvo s ograničenom odgovornošću za proizvodnju, sjemenarstvo, trgovinu i usluge, pod MBS: 010040017, upisan kod: Trgovački sud u Bjelovaru, OIB: 68416812428, Bjelovar, Matice Hrvatske 4/I. </w:t>
      </w:r>
      <w:r w:rsidRPr="00C90371">
        <w:rPr>
          <w:rFonts w:cs="Times New Roman" w:eastAsia="Times New Roman"/>
          <w:lang w:eastAsia="hr-HR"/>
        </w:rPr>
        <w:t xml:space="preserve">Nakon restrukturiranja vlasnička struktura se neće mijenjati. U nastavku slijedi grafički prikaz vlasničke strukture prije i poslije restrukturiranja.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lang w:eastAsia="hr-HR"/>
        </w:rPr>
      </w:pPr>
      <w:r w:rsidRPr="00C90371">
        <w:rPr>
          <w:rFonts w:cs="Times New Roman" w:eastAsia="Times New Roman"/>
          <w:lang w:eastAsia="hr-HR"/>
        </w:rPr>
        <w:t>U nastavku se nalazi grafički prikaz vlasničke strukture prije i poslije mjera restrukturiranja.</w:t>
      </w:r>
    </w:p>
    <w:p w:rsidRDefault="00C90371" w:rsidP="00C90371" w:rsidR="00C90371" w:rsidRPr="00C90371">
      <w:pPr>
        <w:spacing w:lineRule="auto" w:line="360" w:after="200"/>
        <w:rPr>
          <w:rFonts w:cs="Times New Roman" w:eastAsia="Times New Roman"/>
          <w:lang w:eastAsia="hr-HR"/>
        </w:rPr>
      </w:pPr>
      <w:r w:rsidRPr="00C90371">
        <w:rPr>
          <w:rFonts w:cs="Times New Roman" w:eastAsia="Times New Roman"/>
          <w:noProof/>
          <w:lang w:eastAsia="hr-HR"/>
        </w:rPr>
        <w:lastRenderedPageBreak/>
        <w:drawing>
          <wp:inline distR="0" distL="0" distB="0" distT="0">
            <wp:extent cy="3352800" cx="5638800"/>
            <wp:effectExtent b="0" r="19050" t="0" l="19050"/>
            <wp:docPr name="Chart 1" id="3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  <w:r w:rsidRPr="00C90371">
        <w:rPr>
          <w:rFonts w:cs="Times New Roman" w:eastAsia="Times New Roman"/>
          <w:lang w:eastAsia="hr-HR"/>
        </w:rPr>
        <w:br/>
      </w:r>
      <w:r w:rsidRPr="00C90371">
        <w:rPr>
          <w:rFonts w:cs="Times New Roman" w:eastAsia="Calibri"/>
          <w:i/>
        </w:rPr>
        <w:t>Vlasnička struktura prije i nakon restrukturiranja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480" w:after="0" w:before="200"/>
        <w:ind w:hanging="360" w:left="720"/>
        <w:jc w:val="both"/>
        <w:outlineLvl w:val="2"/>
        <w:rPr>
          <w:rFonts w:cs="Times New Roman" w:eastAsia="Times New Roman"/>
          <w:b/>
          <w:bCs/>
        </w:rPr>
      </w:pPr>
      <w:bookmarkStart w:name="_Toc430627151" w:id="16"/>
      <w:bookmarkStart w:name="_Toc432416053" w:id="17"/>
      <w:bookmarkStart w:name="_Toc459304536" w:id="18"/>
      <w:r w:rsidRPr="00C90371">
        <w:rPr>
          <w:rFonts w:cs="Times New Roman" w:eastAsia="Times New Roman"/>
          <w:b/>
          <w:bCs/>
        </w:rPr>
        <w:t>Analiza zaposlenih</w:t>
      </w:r>
      <w:bookmarkEnd w:id="16"/>
      <w:bookmarkEnd w:id="17"/>
      <w:bookmarkEnd w:id="18"/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Društvo VOĆNJAK d.o.o.  u 2011. godini je imalo 12 zaposlenih (prosječan broj zaposlenih tijekom godine, temeljem sati rada). U 2012. godini društvo je zapošljavalo 5 radnika, broj zaposlenih u 2013. godini je narastao te je društvo zapošljavalo 18 radnika. U 2014. godini broj zaposlenika je pao na 10, a u 2015. broj zaposlenih se također smanjio te je društvo zapošljavalo 5 radnika. Zaključno s danom 30.06.2016. godine društvo ima 2 zaposlenika.  Razlog smanjivanju broja zaposlenih proizlazi iz smanjivanja iznosa plaća. Naime u </w:t>
      </w:r>
      <w:proofErr w:type="spellStart"/>
      <w:r w:rsidRPr="00C90371">
        <w:rPr>
          <w:rFonts w:cs="Times New Roman" w:eastAsia="Calibri"/>
        </w:rPr>
        <w:t>u</w:t>
      </w:r>
      <w:proofErr w:type="spellEnd"/>
      <w:r w:rsidRPr="00C90371">
        <w:rPr>
          <w:rFonts w:cs="Times New Roman" w:eastAsia="Calibri"/>
        </w:rPr>
        <w:t xml:space="preserve"> razdoblju od rujna 2014. godine do listopada 2015. godine plaće zaposlenih bile su </w:t>
      </w:r>
      <w:proofErr w:type="spellStart"/>
      <w:r w:rsidRPr="00C90371">
        <w:rPr>
          <w:rFonts w:cs="Times New Roman" w:eastAsia="Calibri"/>
        </w:rPr>
        <w:t>korgirane</w:t>
      </w:r>
      <w:proofErr w:type="spellEnd"/>
      <w:r w:rsidRPr="00C90371">
        <w:rPr>
          <w:rFonts w:cs="Times New Roman" w:eastAsia="Calibri"/>
        </w:rPr>
        <w:t xml:space="preserve"> </w:t>
      </w:r>
      <w:r w:rsidRPr="00C90371">
        <w:rPr>
          <w:rFonts w:cs="Times New Roman" w:eastAsia="Calibri"/>
        </w:rPr>
        <w:lastRenderedPageBreak/>
        <w:t xml:space="preserve">na niže iznose, a u listopadu 2015. godine korigirane su na iznos zakonom propisanog minimalca za sve zaposlene bez iznimke, a sve s namjerom smanjivanja broja zaposlenih, oslobađanja novčanog toka te </w:t>
      </w:r>
      <w:proofErr w:type="spellStart"/>
      <w:r w:rsidRPr="00C90371">
        <w:rPr>
          <w:rFonts w:cs="Times New Roman" w:eastAsia="Calibri"/>
        </w:rPr>
        <w:t>stabliziranja</w:t>
      </w:r>
      <w:proofErr w:type="spellEnd"/>
      <w:r w:rsidRPr="00C90371">
        <w:rPr>
          <w:rFonts w:cs="Times New Roman" w:eastAsia="Calibri"/>
        </w:rPr>
        <w:t xml:space="preserve"> poslovanja tvrtke.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Društvo planira do kraja 2016. godine zaposliti jednog novog radnika, te u 2017. godini još 2, kada bi sveukupno imali 5 zaposlenika. U 2018. je plan kroz fondove ruralnog </w:t>
      </w:r>
      <w:proofErr w:type="spellStart"/>
      <w:r w:rsidRPr="00C90371">
        <w:rPr>
          <w:rFonts w:cs="Times New Roman" w:eastAsia="Calibri"/>
        </w:rPr>
        <w:t>razovoja</w:t>
      </w:r>
      <w:proofErr w:type="spellEnd"/>
      <w:r w:rsidRPr="00C90371">
        <w:rPr>
          <w:rFonts w:cs="Times New Roman" w:eastAsia="Calibri"/>
        </w:rPr>
        <w:t xml:space="preserve"> i bespovratna sredstva u iznosu od 90% vrijednosti investicije, a u zajedničkom projektu s društvo VRT d.o.o., izgraditi hladnjaču radi osiguravanja vlastitih skladišnih kapaciteta koji su pretpostavka kvalitetnog pozicioniranja na tržištu, a što će za sobom povući veći obujam posla pa time i potrebu za dodatnom radnom snagom.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  <w:noProof/>
          <w:lang w:eastAsia="hr-HR"/>
        </w:rPr>
        <w:drawing>
          <wp:inline distR="0" distL="0" distB="0" distT="0">
            <wp:extent cy="2509284" cx="5490831"/>
            <wp:effectExtent b="5316" r="14619" t="0" l="19050"/>
            <wp:docPr name="Chart 3" id="4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  <w:lang w:eastAsia="hr-HR"/>
        </w:rPr>
      </w:pPr>
      <w:r w:rsidRPr="00C90371">
        <w:rPr>
          <w:rFonts w:cs="Times New Roman" w:eastAsia="Calibri"/>
          <w:i/>
          <w:lang w:eastAsia="hr-HR"/>
        </w:rPr>
        <w:t>Grafički prikaz kretanja broja zaposlenih od 2011. do 30.06.2016.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lang w:eastAsia="hr-HR"/>
        </w:rPr>
      </w:pPr>
      <w:r w:rsidRPr="00C90371">
        <w:rPr>
          <w:rFonts w:cs="Times New Roman" w:eastAsia="Calibri"/>
          <w:noProof/>
          <w:lang w:eastAsia="hr-HR"/>
        </w:rPr>
        <w:lastRenderedPageBreak/>
        <w:drawing>
          <wp:inline distR="0" distL="0" distB="0" distT="0">
            <wp:extent cy="2509284" cx="5499721"/>
            <wp:effectExtent b="5316" r="24779" t="0" l="19050"/>
            <wp:docPr name="Chart 5" id="5"/>
            <wp:cNvGraphicFramePr/>
            <a:graphic>
              <a:graphicData uri="http://schemas.openxmlformats.org/drawingml/2006/chart">
                <c:chart r:id="rId14"/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  <w:r w:rsidRPr="00C90371">
        <w:rPr>
          <w:rFonts w:cs="Times New Roman" w:eastAsia="Calibri"/>
          <w:i/>
        </w:rPr>
        <w:t>Grafički prikaz projekcije kretanja broja zaposlenih od 2016. do 2019.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i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Radna mjesta koja će se otvoriti restrukturiranjem kako bi društvo moglo nastaviti svoje poslovanje su: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  <w:sectPr w:rsidSect="001F22B9" w:rsidR="00C90371" w:rsidRPr="00C90371">
          <w:headerReference w:type="default" r:id="rId15"/>
          <w:footerReference w:type="default" r:id="rId16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  <w:r w:rsidRPr="00C90371">
        <w:rPr>
          <w:rFonts w:cs="Times New Roman" w:eastAsia="Calibri"/>
          <w:noProof/>
          <w:lang w:eastAsia="hr-HR"/>
        </w:rPr>
        <w:lastRenderedPageBreak/>
        <w:drawing>
          <wp:inline distR="0" distL="0" distB="0" distT="0">
            <wp:extent cy="4276725" cx="9144000"/>
            <wp:effectExtent b="66675" r="0" t="19050" l="0"/>
            <wp:docPr name="Diagram 9" id="6"/>
            <wp:cNvGraphicFramePr>
              <a:graphicFrameLocks/>
            </wp:cNvGraphicFramePr>
            <a:graphic>
              <a:graphicData uri="http://schemas.openxmlformats.org/drawingml/2006/diagram">
                <dgm:relIds r:cs="rId20" r:qs="rId19" r:lo="rId18" r:dm="rId17"/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276" w:after="0" w:before="200"/>
        <w:ind w:hanging="360" w:left="720"/>
        <w:outlineLvl w:val="1"/>
        <w:rPr>
          <w:rFonts w:cs="Times New Roman" w:eastAsia="Times New Roman"/>
          <w:b/>
          <w:bCs/>
        </w:rPr>
      </w:pPr>
      <w:bookmarkStart w:name="_Toc432416054" w:id="19"/>
      <w:bookmarkStart w:name="_Toc459304537" w:id="20"/>
      <w:r w:rsidRPr="00C90371">
        <w:rPr>
          <w:rFonts w:cs="Times New Roman" w:eastAsia="Times New Roman"/>
          <w:b/>
          <w:bCs/>
        </w:rPr>
        <w:t>Operativno poslovanje i tržišna situacija</w:t>
      </w:r>
      <w:bookmarkEnd w:id="19"/>
      <w:bookmarkEnd w:id="20"/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  <w:sectPr w:rsidSect="006A114B" w:rsidR="00C90371" w:rsidRPr="00C90371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  <w:r w:rsidRPr="00C90371">
        <w:rPr>
          <w:rFonts w:cs="Times New Roman" w:eastAsia="Calibri"/>
        </w:rPr>
        <w:t xml:space="preserve">Društvo VOĆNJAK d.o.o. osnovano je i posluje od 16.06.2009. godine. Tvrtka je upisana na Trgovačkom sudu u Bjelovaru pod matičnim brojem 030104368. Društvo je registrirano za obavljanje djelatnosti Uzgoj </w:t>
      </w:r>
      <w:proofErr w:type="spellStart"/>
      <w:r w:rsidRPr="00C90371">
        <w:rPr>
          <w:rFonts w:cs="Times New Roman" w:eastAsia="Calibri"/>
        </w:rPr>
        <w:t>jezgričavog</w:t>
      </w:r>
      <w:proofErr w:type="spellEnd"/>
      <w:r w:rsidRPr="00C90371">
        <w:rPr>
          <w:rFonts w:cs="Times New Roman" w:eastAsia="Calibri"/>
        </w:rPr>
        <w:t xml:space="preserve"> i </w:t>
      </w:r>
      <w:proofErr w:type="spellStart"/>
      <w:r w:rsidRPr="00C90371">
        <w:rPr>
          <w:rFonts w:cs="Times New Roman" w:eastAsia="Calibri"/>
        </w:rPr>
        <w:t>koštuničavog</w:t>
      </w:r>
      <w:proofErr w:type="spellEnd"/>
      <w:r w:rsidRPr="00C90371">
        <w:rPr>
          <w:rFonts w:cs="Times New Roman" w:eastAsia="Calibri"/>
        </w:rPr>
        <w:t xml:space="preserve"> voća (01.24). Temeljna djelatnost je voćarstvo. VOĆNJAK d.o.o. je mali poduzetnik </w:t>
      </w:r>
      <w:r w:rsidRPr="00C90371">
        <w:rPr>
          <w:rFonts w:cs="Times New Roman" w:eastAsia="Calibri"/>
          <w:shd w:fill="FFFFFF" w:color="auto" w:val="clear"/>
        </w:rPr>
        <w:t>u privatnom vlasništvu. Temeljni kapital poslovnog subjekta financiran je 100% domaćim kapitalom.</w:t>
      </w:r>
      <w:r w:rsidRPr="00C90371">
        <w:rPr>
          <w:rFonts w:cs="Times New Roman" w:eastAsia="Calibri"/>
        </w:rPr>
        <w:t xml:space="preserve"> Uprava društva se nalazi u Upravnoj zgradi u vlasništvu povezane tvrtke Ratarstvo d.o.o. na adresi Marice Hrvatske 4/I, 43 000 Bjelovar. Proizvodnja obuhvaća voćnjak od 35 ha u mjestu </w:t>
      </w:r>
      <w:proofErr w:type="spellStart"/>
      <w:r w:rsidRPr="00C90371">
        <w:rPr>
          <w:rFonts w:cs="Times New Roman" w:eastAsia="Calibri"/>
        </w:rPr>
        <w:t>Ivankovo</w:t>
      </w:r>
      <w:proofErr w:type="spellEnd"/>
      <w:r w:rsidRPr="00C90371">
        <w:rPr>
          <w:rFonts w:cs="Times New Roman" w:eastAsia="Calibri"/>
        </w:rPr>
        <w:t xml:space="preserve"> kraj Vinkovaca. Posluje na području Kontinentalne Hrvatske, a svoje poslove društvo sklapa direktnim pogodbama i dogovorima. </w:t>
      </w:r>
      <w:r w:rsidRPr="00C90371">
        <w:rPr>
          <w:rFonts w:cs="Times New Roman" w:eastAsia="Calibri"/>
          <w:shd w:fill="FFFFFF" w:color="auto" w:val="clear"/>
        </w:rPr>
        <w:t>Među najvećim dosadašnjim kupcima društva VOĆNJAK d.o.o. je VRT d.o.o.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lastRenderedPageBreak/>
        <w:t>Temeljna pretpostavka razvoja je razvoj voćarske proizvodnje te izgradnja hladnjače kapaciteta 5.000 tona na nekretnini VRT-a d.o.o. u Ždralovima kraj Bjelovara.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Projekt je planiran kao zajednički investicijski projekt tvrtki VRT d.o.o. (Nositelj projekta) i Voćnjak d.o.o. (Partner u projektu) kojim je tvrtka VRT d.o.o. aplicirala na EAFRD - Mjeru 4.1.1. (Restrukturiranje, modernizacija i povećanje konkurentnosti poljoprivrednih gospodarstava) pod nazivom “Prijem, sortiranje, prerada i skladištenje voća”.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Svrha investicije je postizanje konkurentnije pozicije kroz povećanje učinkovitosti proizvodnje, stvaranje novih skladišnih kapaciteta, uvođenje tehnologije i razvijanje tehnoloških procesa s ciljem postizanja kvalitetnije kontrole procesa, smanjenje utroška energije i poboljšavanje energetske učinkovitosti, te stvaranja uvjeta koji omogućavaju efikasniju kontrolu nad vlastitom kvalitetom jabuke nakon čega slijedi prodaja i distribucija visoko kvalitetnog proizvoda maksimalno prilagođenog kupcu (način sortiranja i pakiranja) u trenutku kada je tržišna cijena najprihvatljivija.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lastRenderedPageBreak/>
        <w:t xml:space="preserve">Investicija se sastoji od izgradnje i opremanja ULO hladnjače (ULO =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Ultra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low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oxygen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>) za skladištenje jabuka i gotovih proizvoda te izgradnje i opremanja pogona za preradu voća, odnosno proizvodnju soka i ostalih gotovih proizvoda od jabuke.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Vrijednost investicijskog projekta iznosi 5.555.555,00 EUR, a iz EAFRD-a se očekuje povrat novčanih sredstava u iznosu 90% vrijednosti investicije, odnosno 5.000.000,00 EUR.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Naime, sukladno Kriterijima odabira zahtjeva za potporu u Tipu operacije 4.1.1. navedenima u Prilogu III. Pravilnika o provedbi mjere M04 “Ulaganja u fizičku imovinu”,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podmjere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4.1. “Potpora za ulaganja u poljoprivredna gospodarstva” iz Programa Ruralnog razvoja Republike Hrvatske za razdoblje 2014.-2020. godine”,  planirani investicijski projekt je ostvario 75 bodova od maksimalnih 100 bodova, a sukladno članku 10. Pravilnika ima preduvjete ostvarivanja 90% bespovratnih sredstava na temelju sljedećih karakteristika projekta: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 </w:t>
      </w:r>
    </w:p>
    <w:tbl>
      <w:tblPr>
        <w:tblW w:type="dxa" w:w="54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6"/>
        <w:gridCol w:w="1800"/>
        <w:gridCol w:w="1056"/>
      </w:tblGrid>
      <w:tr w:rsidTr="0051252E" w:rsidR="00C90371" w:rsidRPr="00C90371">
        <w:trPr>
          <w:trHeight w:val="252"/>
          <w:jc w:val="center"/>
        </w:trPr>
        <w:tc>
          <w:tcPr>
            <w:tcW w:type="dxa" w:w="261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minimalan (osnovni)  povrat</w:t>
            </w:r>
          </w:p>
        </w:tc>
        <w:tc>
          <w:tcPr>
            <w:tcW w:type="dxa" w:w="180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2.777.778 EUR</w:t>
            </w:r>
          </w:p>
        </w:tc>
        <w:tc>
          <w:tcPr>
            <w:tcW w:type="dxa" w:w="105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50%</w:t>
            </w:r>
          </w:p>
        </w:tc>
      </w:tr>
      <w:tr w:rsidTr="0051252E" w:rsidR="00C90371" w:rsidRPr="00C90371">
        <w:trPr>
          <w:trHeight w:val="252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mladi poljoprivrednik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1.111.111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20%</w:t>
            </w:r>
          </w:p>
        </w:tc>
      </w:tr>
      <w:tr w:rsidTr="0051252E" w:rsidR="00C90371" w:rsidRPr="00C90371">
        <w:trPr>
          <w:trHeight w:val="276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zajednički projekt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1.111.111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20%</w:t>
            </w:r>
          </w:p>
        </w:tc>
      </w:tr>
      <w:tr w:rsidTr="0051252E" w:rsidR="00C90371" w:rsidRPr="00C90371">
        <w:trPr>
          <w:trHeight w:val="276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Povrat EAFRD - GRANT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5.000.000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90%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tbl>
      <w:tblPr>
        <w:tblW w:type="dxa" w:w="54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6"/>
        <w:gridCol w:w="1800"/>
        <w:gridCol w:w="1056"/>
      </w:tblGrid>
      <w:tr w:rsidTr="0051252E" w:rsidR="00C90371" w:rsidRPr="00C90371">
        <w:trPr>
          <w:trHeight w:val="252"/>
          <w:jc w:val="center"/>
        </w:trPr>
        <w:tc>
          <w:tcPr>
            <w:tcW w:type="dxa" w:w="261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Vrijednost investicije</w:t>
            </w:r>
          </w:p>
        </w:tc>
        <w:tc>
          <w:tcPr>
            <w:tcW w:type="dxa" w:w="180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5.555.556 EUR</w:t>
            </w:r>
          </w:p>
        </w:tc>
        <w:tc>
          <w:tcPr>
            <w:tcW w:type="dxa" w:w="105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100%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   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Odluke/novci za Mjeru 4.1.1. na koju smo aplicirali još uvijek nisu nikome dane. Radi se o prvom natječaju u Mjeri 4.1.1. koji je završio 15.04.2015. za koju postoji objavljena lista odobrenih zahtjeva. Naš projekt se nalazi na 72. mjestu.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  <w:bCs/>
        </w:rPr>
      </w:pPr>
    </w:p>
    <w:p w:rsidRDefault="00C90371" w:rsidP="00C90371" w:rsidR="00C90371" w:rsidRPr="00C90371">
      <w:pPr>
        <w:keepNext/>
        <w:keepLines/>
        <w:spacing w:lineRule="auto" w:line="276" w:after="0" w:before="200"/>
        <w:ind w:hanging="360" w:left="720"/>
        <w:outlineLvl w:val="3"/>
        <w:rPr>
          <w:rFonts w:cs="Times New Roman" w:eastAsia="Times New Roman"/>
          <w:b/>
          <w:bCs/>
          <w:iCs/>
        </w:rPr>
      </w:pPr>
      <w:bookmarkStart w:name="_Toc459304538" w:id="21"/>
      <w:r w:rsidRPr="00C90371">
        <w:rPr>
          <w:rFonts w:cs="Times New Roman" w:eastAsia="Times New Roman"/>
          <w:b/>
          <w:bCs/>
          <w:iCs/>
        </w:rPr>
        <w:t>Izvješće o poslovnom i financijskom stanju dužnika VOĆNJAK  d.o.o., Bjelovar, na temelju financijskog izvještaja sa stanjem na dan 30.06.2016. godine</w:t>
      </w:r>
      <w:bookmarkEnd w:id="21"/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Rezultati poslovanja dani su u računu dobiti i gubitka na dan 30.06.2016. (iznosi u kn), a dok grafički prikaz pokazuje ostvarene rezultate poslovanja.</w:t>
      </w:r>
    </w:p>
    <w:tbl>
      <w:tblPr>
        <w:tblW w:type="dxa" w:w="9134"/>
        <w:tblInd w:type="dxa" w:w="108"/>
        <w:tblLook w:val="04A0" w:noVBand="1" w:noHBand="0" w:lastColumn="0" w:firstColumn="1" w:lastRow="0" w:firstRow="1"/>
      </w:tblPr>
      <w:tblGrid>
        <w:gridCol w:w="643"/>
        <w:gridCol w:w="641"/>
        <w:gridCol w:w="638"/>
        <w:gridCol w:w="635"/>
        <w:gridCol w:w="633"/>
        <w:gridCol w:w="631"/>
        <w:gridCol w:w="629"/>
        <w:gridCol w:w="627"/>
        <w:gridCol w:w="759"/>
        <w:gridCol w:w="804"/>
        <w:gridCol w:w="1247"/>
        <w:gridCol w:w="1247"/>
      </w:tblGrid>
      <w:tr w:rsidTr="0051252E" w:rsidR="00C90371" w:rsidRPr="00C90371">
        <w:trPr>
          <w:trHeight w:val="414"/>
        </w:trPr>
        <w:tc>
          <w:tcPr>
            <w:tcW w:type="dxa" w:w="7886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  <w:t>RAČUN DOBITI I GUBITKA</w:t>
            </w:r>
          </w:p>
        </w:tc>
        <w:tc>
          <w:tcPr>
            <w:tcW w:type="dxa" w:w="124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Obrazac</w:t>
            </w: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</w:r>
            <w:r w:rsidRPr="00C90371">
              <w:rPr>
                <w:rFonts w:cs="Arial" w:eastAsia="Times New Roman" w:hAnsi="Arial Black" w:ascii="Arial Black"/>
                <w:b/>
                <w:bCs/>
                <w:color w:val="000080"/>
                <w:lang w:eastAsia="hr-HR"/>
              </w:rPr>
              <w:t>POD-RDG</w:t>
            </w:r>
          </w:p>
        </w:tc>
      </w:tr>
      <w:tr w:rsidTr="0051252E" w:rsidR="00C90371" w:rsidRPr="00C90371">
        <w:trPr>
          <w:trHeight w:val="414"/>
        </w:trPr>
        <w:tc>
          <w:tcPr>
            <w:tcW w:type="dxa" w:w="7886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za razdoblje 01.01.2016. do 30.06.2016.</w:t>
            </w:r>
          </w:p>
        </w:tc>
        <w:tc>
          <w:tcPr>
            <w:tcW w:type="dxa" w:w="124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</w:p>
        </w:tc>
      </w:tr>
      <w:tr w:rsidTr="0051252E" w:rsidR="00C90371" w:rsidRPr="00C90371">
        <w:trPr>
          <w:trHeight w:val="105"/>
        </w:trPr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6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12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type="dxa" w:w="12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1252E" w:rsidR="00C90371" w:rsidRPr="00C90371">
        <w:trPr>
          <w:trHeight w:val="414"/>
        </w:trPr>
        <w:tc>
          <w:tcPr>
            <w:tcW w:type="dxa" w:w="9132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Obveznik: 52871551229; VOĆNJAK d.o.o.</w:t>
            </w:r>
          </w:p>
        </w:tc>
      </w:tr>
      <w:tr w:rsidTr="0051252E" w:rsidR="00C90371" w:rsidRPr="00C90371">
        <w:trPr>
          <w:trHeight w:val="51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664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oznaka</w:t>
            </w:r>
          </w:p>
        </w:tc>
        <w:tc>
          <w:tcPr>
            <w:tcW w:type="dxa" w:w="664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bilješke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dxa" w:w="124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51252E" w:rsidR="00C90371" w:rsidRPr="00C90371">
        <w:trPr>
          <w:trHeight w:val="278"/>
        </w:trPr>
        <w:tc>
          <w:tcPr>
            <w:tcW w:type="dxa" w:w="5311"/>
            <w:gridSpan w:val="8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bookmarkStart w:name="RANGE!K8" w:id="22"/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  <w:bookmarkEnd w:id="22"/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POSLOVNI PRIHODI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(112+113)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1.214.632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354.651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520.293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2.752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694.339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351.899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(115+116+120+124+125+126+129+130)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889.957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184.317</w:t>
            </w:r>
          </w:p>
        </w:tc>
      </w:tr>
      <w:tr w:rsidTr="0051252E" w:rsidR="00C90371" w:rsidRPr="00C90371">
        <w:trPr>
          <w:trHeight w:val="309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-257.717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(117 do 119)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819.495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98.574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462.464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30.414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prodane robe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68.160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357.031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(121 do 123)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275.795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43.447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170.534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29.657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64.987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7.580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40.274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6.210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37.868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18.934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12.159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18.110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6. Vrijednosno usklađivanje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(127+128)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  a) dugotrajne imovine (osim financijske imovine)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b) kratkotrajne imovine (osim financijske imovine)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7. Rezerviranja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2.357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5.252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(132 do 136)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18.639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576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1. Kamate, tečajne razlike, dividende i slični prihodi iz odnosa s</w:t>
            </w: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 povezanim poduzetnicima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576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2. Kamate, tečajne razlike, dividende, slični prihodi iz odnosa s</w:t>
            </w: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  nepovezanim poduzetnicima i drugim osobama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18.639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3. Dio prihoda od pridruženih poduzetnika i sudjelujućih interesa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4. Nerealizirani dobici (prihodi) od financijske imovine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5. Ostali financijski prihodi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(138 do 141)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323.354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174.116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1. Kamate, tečajne razlike i drugi rashodi s povezanim poduzetnicima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576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Kamate, tečajne razlike i drugi rashodi iz odnosa s nepovezanim</w:t>
            </w: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poduzetnicima i drugim osobama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323.354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174.116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3. Nerealizirani gubici (rashodi) od financijske imovine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4. Ostali financijski rashodi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V.    UDIO U DOBITI OD PRIDRUŽENIH PODUZETNIKA 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VI.   UDIO U GUBITKU OD PRIDRUŽENIH PODUZETNIKA 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VII.  IZVANREDNI - OSTALI PRIHODI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VIII. IZVANREDNI - OSTALI RASHODI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IX.  UKUPNI PRIHODI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(111+131+142 + 144)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1.233.271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354.651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X.   UKUPNI RASHODI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(114+137+143 + 145)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1.213.311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358.433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(146-147)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19.960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-3.782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prije oporezivanja (146-147)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19.960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prije oporezivanja (147-146)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3.782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4.463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(148-151)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-3.782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(149-151)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dxa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90"/>
        </w:trPr>
        <w:tc>
          <w:tcPr>
            <w:tcW w:type="dxa" w:w="5311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razdoblja (151-148)</w:t>
            </w:r>
          </w:p>
        </w:tc>
        <w:tc>
          <w:tcPr>
            <w:tcW w:type="dxa" w:w="6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dxa" w:w="66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3.782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  <w:r w:rsidRPr="00C90371">
        <w:rPr>
          <w:rFonts w:cs="Times New Roman" w:eastAsia="Calibri"/>
          <w:i/>
        </w:rPr>
        <w:t>Račun dobiti i gubitka prethodne godine i na dan 30.06.2016.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Sažetak poslovanja društva kroz razdoblje od 2012. do 30.06.2016. godine nalazi se u nastavku (iznosi u kn).</w:t>
      </w:r>
    </w:p>
    <w:tbl>
      <w:tblPr>
        <w:tblW w:type="dxa" w:w="9285"/>
        <w:tblInd w:type="dxa" w:w="93"/>
        <w:tblLook w:val="04A0" w:noVBand="1" w:noHBand="0" w:lastColumn="0" w:firstColumn="1" w:lastRow="0" w:firstRow="1"/>
      </w:tblPr>
      <w:tblGrid>
        <w:gridCol w:w="2734"/>
        <w:gridCol w:w="1191"/>
        <w:gridCol w:w="1540"/>
        <w:gridCol w:w="1355"/>
        <w:gridCol w:w="1146"/>
        <w:gridCol w:w="1319"/>
      </w:tblGrid>
      <w:tr w:rsidTr="0051252E" w:rsidR="00C90371" w:rsidRPr="00C90371">
        <w:trPr>
          <w:trHeight w:val="315"/>
        </w:trPr>
        <w:tc>
          <w:tcPr>
            <w:tcW w:type="dxa" w:w="27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Opis/godina</w:t>
            </w:r>
          </w:p>
        </w:tc>
        <w:tc>
          <w:tcPr>
            <w:tcW w:type="dxa" w:w="11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2012.</w:t>
            </w:r>
          </w:p>
        </w:tc>
        <w:tc>
          <w:tcPr>
            <w:tcW w:type="dxa" w:w="15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2013.</w:t>
            </w:r>
          </w:p>
        </w:tc>
        <w:tc>
          <w:tcPr>
            <w:tcW w:type="dxa" w:w="13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2014.</w:t>
            </w:r>
          </w:p>
        </w:tc>
        <w:tc>
          <w:tcPr>
            <w:tcW w:type="dxa" w:w="11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2015.</w:t>
            </w:r>
          </w:p>
        </w:tc>
        <w:tc>
          <w:tcPr>
            <w:tcW w:type="dxa" w:w="13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  <w:t>30.06.2016.</w:t>
            </w:r>
          </w:p>
        </w:tc>
      </w:tr>
      <w:tr w:rsidTr="0051252E" w:rsidR="00C90371" w:rsidRPr="00C90371">
        <w:trPr>
          <w:trHeight w:val="3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Broj zaposlenih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</w:tr>
      <w:tr w:rsidTr="0051252E" w:rsidR="00C90371" w:rsidRPr="00C90371">
        <w:trPr>
          <w:trHeight w:val="3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Ukupni prihodi (u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6.127.200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3.220.400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2.211.600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1.233.300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355.000</w:t>
            </w:r>
          </w:p>
        </w:tc>
      </w:tr>
      <w:tr w:rsidTr="0051252E" w:rsidR="00C90371" w:rsidRPr="00C90371">
        <w:trPr>
          <w:trHeight w:val="3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Ukupni rashodi (u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4.544.400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3.033.200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2.133.900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1.213.300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360.000</w:t>
            </w:r>
          </w:p>
        </w:tc>
      </w:tr>
      <w:tr w:rsidTr="0051252E" w:rsidR="00C90371" w:rsidRPr="00C90371">
        <w:trPr>
          <w:trHeight w:val="3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EBIT (U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2.235.000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794.800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618.700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324.700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165.000</w:t>
            </w:r>
          </w:p>
        </w:tc>
      </w:tr>
      <w:tr w:rsidTr="0051252E" w:rsidR="00C90371" w:rsidRPr="00C90371">
        <w:trPr>
          <w:trHeight w:val="3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EBT (Bruto dobit) (U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1.582.800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187.300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77.700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20.000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-5.000</w:t>
            </w:r>
          </w:p>
        </w:tc>
      </w:tr>
      <w:tr w:rsidTr="0051252E" w:rsidR="00C90371" w:rsidRPr="00C90371">
        <w:trPr>
          <w:trHeight w:val="615"/>
        </w:trPr>
        <w:tc>
          <w:tcPr>
            <w:tcW w:type="dxa" w:w="27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Dobit nakon oporezivanja (Neto dobit)(u Kn)</w:t>
            </w:r>
          </w:p>
        </w:tc>
        <w:tc>
          <w:tcPr>
            <w:tcW w:type="dxa" w:w="11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1.263.400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148.500</w:t>
            </w:r>
          </w:p>
        </w:tc>
        <w:tc>
          <w:tcPr>
            <w:tcW w:type="dxa" w:w="13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59.600</w:t>
            </w:r>
          </w:p>
        </w:tc>
        <w:tc>
          <w:tcPr>
            <w:tcW w:type="dxa" w:w="11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15.500</w:t>
            </w:r>
          </w:p>
        </w:tc>
        <w:tc>
          <w:tcPr>
            <w:tcW w:type="dxa" w:w="13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-5.000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  <w:r w:rsidRPr="00C90371">
        <w:rPr>
          <w:rFonts w:cs="Times New Roman" w:eastAsia="Calibri"/>
          <w:i/>
        </w:rPr>
        <w:t>Tablica analize poslovanja od 2012. do 30.06.2016.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  <w:noProof/>
          <w:lang w:eastAsia="hr-HR"/>
        </w:rPr>
        <w:drawing>
          <wp:inline distR="0" distL="0" distB="0" distT="0">
            <wp:extent cy="3200400" cx="5486400"/>
            <wp:effectExtent b="0" r="19050" t="0" l="19050"/>
            <wp:docPr name="Chart 6" id="7"/>
            <wp:cNvGraphicFramePr/>
            <a:graphic>
              <a:graphicData uri="http://schemas.openxmlformats.org/drawingml/2006/chart">
                <c:chart r:id="rId22"/>
              </a:graphicData>
            </a:graphic>
          </wp:inline>
        </w:drawing>
      </w:r>
    </w:p>
    <w:p w:rsidRDefault="00C90371" w:rsidP="00C90371" w:rsidR="00C90371" w:rsidRPr="00C90371">
      <w:pPr>
        <w:spacing w:before="240"/>
        <w:rPr>
          <w:rFonts w:cs="Times New Roman" w:eastAsia="Calibri"/>
          <w:i/>
        </w:rPr>
      </w:pPr>
      <w:r w:rsidRPr="00C90371">
        <w:rPr>
          <w:rFonts w:cs="Times New Roman" w:eastAsia="Calibri"/>
          <w:i/>
        </w:rPr>
        <w:t>Grafički prikaz rezultata poslovanja u prethodnim godinama poslovanja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U nastavku prikazana je usporedba obveza prema dobavljačima i potraživanja od kupaca (iznosi u kn).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  <w:noProof/>
          <w:lang w:eastAsia="hr-HR"/>
        </w:rPr>
        <w:lastRenderedPageBreak/>
        <w:drawing>
          <wp:inline distR="0" distL="0" distB="0" distT="0">
            <wp:extent cy="3200400" cx="5486400"/>
            <wp:effectExtent b="0" r="19050" t="0" l="19050"/>
            <wp:docPr name="Chart 7" id="8"/>
            <wp:cNvGraphicFramePr/>
            <a:graphic>
              <a:graphicData uri="http://schemas.openxmlformats.org/drawingml/2006/chart">
                <c:chart r:id="rId23"/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  <w:r w:rsidRPr="00C90371">
        <w:rPr>
          <w:rFonts w:cs="Times New Roman" w:eastAsia="Calibri"/>
          <w:i/>
        </w:rPr>
        <w:t xml:space="preserve">Grafički prikaz obveza prema dobavljačima i potraživanja od </w:t>
      </w:r>
      <w:proofErr w:type="spellStart"/>
      <w:r w:rsidRPr="00C90371">
        <w:rPr>
          <w:rFonts w:cs="Times New Roman" w:eastAsia="Calibri"/>
          <w:i/>
        </w:rPr>
        <w:t>kupacau</w:t>
      </w:r>
      <w:proofErr w:type="spellEnd"/>
      <w:r w:rsidRPr="00C90371">
        <w:rPr>
          <w:rFonts w:cs="Times New Roman" w:eastAsia="Calibri"/>
          <w:i/>
        </w:rPr>
        <w:t xml:space="preserve"> razdoblju od 2012. do 30.06.2016. godine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  <w:i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Račun dobiti i gubitka pokazuje tendenciju pad ukupnih prihod i ukupnih rashoda kroz promatrano razdoblje. Sve promatrane godine obilježio je pozitivan trend poslovanja, osim u 2016. godini kada poduzeće posluje s gubitkom. U 2013. god. u odnosu na 2012. god. bilježi se pad ukupnih prihoda za 47,44%, te pad ukupnih rashoda u promatranom razdoblju za 33,25%. U 2014. god. u odnosu na 2013. god. bilježi se također pad ukupnih prihoda za 31,33 % i ukupnih rashoda za 29,65%. U 2015. god. bilježi se pad ukupnih prihoda u odnosu na 2014. god. od 44,23% , a ukupnih rashoda za 43,14%. Zaključno s datumom 30.06.2016. ukupni prihodi su smanjeni za 71,22%, a s druge strane ukupni rashodi su također zabilježili pad vrijednosti od 70,33% u odnosu na 2015. godinu.</w:t>
      </w:r>
      <w:r w:rsidRPr="00C90371">
        <w:rPr>
          <w:rFonts w:cs="Times New Roman" w:eastAsia="Times New Roman"/>
          <w:sz w:val="20"/>
          <w:szCs w:val="20"/>
          <w:lang w:eastAsia="hr-HR"/>
        </w:rPr>
        <w:t xml:space="preserve"> </w:t>
      </w:r>
      <w:r w:rsidRPr="00C90371">
        <w:rPr>
          <w:rFonts w:cs="Times New Roman" w:eastAsia="Calibri"/>
        </w:rPr>
        <w:t>Voćnjak d.o.o. u 100%-</w:t>
      </w:r>
      <w:proofErr w:type="spellStart"/>
      <w:r w:rsidRPr="00C90371">
        <w:rPr>
          <w:rFonts w:cs="Times New Roman" w:eastAsia="Calibri"/>
        </w:rPr>
        <w:t>tnom</w:t>
      </w:r>
      <w:proofErr w:type="spellEnd"/>
      <w:r w:rsidRPr="00C90371">
        <w:rPr>
          <w:rFonts w:cs="Times New Roman" w:eastAsia="Calibri"/>
        </w:rPr>
        <w:t xml:space="preserve"> je vlasništvu društva VRT d.o.o. koje je s osnove neplaćene obveze PDV-a blokirala Porezna uprava. Nakon toga reagirao je i kreditor VRT-a d.o.o. ERSTE&amp;STEIERMÄRKISCHE BANK d. </w:t>
      </w:r>
      <w:proofErr w:type="spellStart"/>
      <w:r w:rsidRPr="00C90371">
        <w:rPr>
          <w:rFonts w:cs="Times New Roman" w:eastAsia="Calibri"/>
        </w:rPr>
        <w:t>d.</w:t>
      </w:r>
      <w:proofErr w:type="spellEnd"/>
      <w:r w:rsidRPr="00C90371">
        <w:rPr>
          <w:rFonts w:cs="Times New Roman" w:eastAsia="Calibri"/>
        </w:rPr>
        <w:t>. te blokirao osim VRT-a d.o.o. i sve sudužnike po svim kreditnim obvezama. Jedan od tih sudužnika je i Voćnjak d.o.o.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  <w:color w:val="FF0000"/>
        </w:rPr>
        <w:br/>
      </w:r>
      <w:r w:rsidRPr="00C90371">
        <w:rPr>
          <w:rFonts w:cs="Times New Roman" w:eastAsia="Calibri"/>
        </w:rPr>
        <w:t>Slijedi bilanca na dan 31.12.2015. godine i na dan 30.06.2016. godine (iznosi u kn).</w:t>
      </w:r>
    </w:p>
    <w:tbl>
      <w:tblPr>
        <w:tblW w:type="dxa" w:w="9080"/>
        <w:tblInd w:type="dxa" w:w="108"/>
        <w:tblLook w:val="04A0" w:noVBand="1" w:noHBand="0" w:lastColumn="0" w:firstColumn="1" w:lastRow="0" w:firstRow="1"/>
      </w:tblPr>
      <w:tblGrid>
        <w:gridCol w:w="625"/>
        <w:gridCol w:w="623"/>
        <w:gridCol w:w="621"/>
        <w:gridCol w:w="760"/>
        <w:gridCol w:w="619"/>
        <w:gridCol w:w="618"/>
        <w:gridCol w:w="617"/>
        <w:gridCol w:w="618"/>
        <w:gridCol w:w="691"/>
        <w:gridCol w:w="804"/>
        <w:gridCol w:w="1242"/>
        <w:gridCol w:w="1242"/>
      </w:tblGrid>
      <w:tr w:rsidTr="0051252E" w:rsidR="00C90371" w:rsidRPr="00C90371">
        <w:trPr>
          <w:trHeight w:val="379"/>
        </w:trPr>
        <w:tc>
          <w:tcPr>
            <w:tcW w:type="dxa" w:w="7838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  <w:t>BILANCA</w:t>
            </w:r>
          </w:p>
        </w:tc>
        <w:tc>
          <w:tcPr>
            <w:tcW w:type="dxa" w:w="124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Obrazac</w:t>
            </w: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</w:r>
            <w:r w:rsidRPr="00C90371">
              <w:rPr>
                <w:rFonts w:cs="Arial" w:eastAsia="Times New Roman" w:hAnsi="Arial Black" w:ascii="Arial Black"/>
                <w:b/>
                <w:bCs/>
                <w:color w:val="000080"/>
                <w:lang w:eastAsia="hr-HR"/>
              </w:rPr>
              <w:t>POD-BIL</w:t>
            </w:r>
          </w:p>
        </w:tc>
      </w:tr>
      <w:tr w:rsidTr="0051252E" w:rsidR="00C90371" w:rsidRPr="00C90371">
        <w:trPr>
          <w:trHeight w:val="379"/>
        </w:trPr>
        <w:tc>
          <w:tcPr>
            <w:tcW w:type="dxa" w:w="7838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stanje na dan 30.06.2016.</w:t>
            </w:r>
          </w:p>
        </w:tc>
        <w:tc>
          <w:tcPr>
            <w:tcW w:type="dxa" w:w="124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</w:p>
        </w:tc>
      </w:tr>
      <w:tr w:rsidTr="0051252E" w:rsidR="00C90371" w:rsidRPr="00C90371">
        <w:trPr>
          <w:trHeight w:val="96"/>
        </w:trPr>
        <w:tc>
          <w:tcPr>
            <w:tcW w:type="dxa" w:w="65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5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51252E" w:rsidR="00C90371" w:rsidRPr="00C90371">
        <w:trPr>
          <w:trHeight w:val="379"/>
        </w:trPr>
        <w:tc>
          <w:tcPr>
            <w:tcW w:type="dxa" w:w="9080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Obveznik: 52871551229; VOĆNJAK d.o.o.</w:t>
            </w:r>
          </w:p>
        </w:tc>
      </w:tr>
      <w:tr w:rsidTr="0051252E" w:rsidR="00C90371" w:rsidRPr="00C90371">
        <w:trPr>
          <w:trHeight w:val="4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000000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55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dxa" w:w="66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bilješke</w:t>
            </w:r>
          </w:p>
        </w:tc>
        <w:tc>
          <w:tcPr>
            <w:tcW w:type="dxa" w:w="1242"/>
            <w:tcBorders>
              <w:top w:val="nil"/>
              <w:left w:val="nil"/>
              <w:bottom w:space="0" w:sz="8" w:color="C0C0C0" w:val="single"/>
              <w:right w:val="nil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dxa" w:w="1242"/>
            <w:tcBorders>
              <w:top w:val="nil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9080"/>
            <w:gridSpan w:val="1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name="RANGE!A9" w:id="23"/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23"/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bookmarkStart w:name="RANGE!K10" w:id="24"/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  <w:bookmarkEnd w:id="24"/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B)  DUGOTRAJNA IMOVINA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(003+010+020+029+033)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12.289.596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12.270.662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NEMATERIJALNA IMOVINA (004 do 009)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Izdaci za razvoj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2. Koncesije, patenti, licencije, robne i uslužne marke, softver i ostala prava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</w:t>
            </w:r>
            <w:proofErr w:type="spellStart"/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Predujmovi za nabavu nematerijalne imovine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Nematerijalna imovina u pripremi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Ostala nematerijalna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MATERIJALNA IMOVINA (011 do 019)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12.289.596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12.270.662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2.471.201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2.471.201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76.092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220.218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312.120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57.775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36.620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1.508.186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1.507.197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7.945.824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7.943.524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10.300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DUGOTRAJNA FINANCIJSKA IMOVINA (021 do 028)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Sudjelujući interesi (udjeli)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Zajmovi dani poduzetnicima u kojima postoje sudjelujući interesi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vrijednosne papire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Ostala dugotrajna financijska imovina 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 Ulaganja koja se obračunavaju metodom udjela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POTRAŽIVANJA (030 do 032)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Potraživanja od povezanih poduzetnika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Potraživanja po osnovi prodaje na kredit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Ostala potraživanja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C)  KRATKOTRAJNA IMOVINA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(035+043+050+058)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1.527.248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1.194.230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ZALIHE (036 do 042)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730.875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1.119.188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Sirovine i materijal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427.468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834.405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Proizvodnja u tijeku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257.550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257.550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Gotovi proizvodi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4.633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26.233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Trgovačka roba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Predujmovi za zalihe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41.224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1.000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Dugotrajna imovina namijenjena prodaji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7. Biološka imovina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POTRAŽIVANJA (044 do 049)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783.244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65.543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Potraživanja od povezanih poduzetnika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578.711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Potraživanja od kupaca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Potraživanja od sudjelujućih poduzetnika 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Potraživanja od zaposlenika i članova poduzetnika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11.147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Potraživanja od države i drugih institucija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204.099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54.396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6. Ostala potraživanja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KRATKOTRAJNA FINANCIJSKA IMOVINA (051 do 057)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5.292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Sudjelujući interesi (udjeli) 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Zajmovi dani poduzetnicima u kojima postoje sudjelujući interesi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vrijednosne papire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Ostala financijska imovina 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5.292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7.837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9.499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D)  PLAĆENI TROŠKOVI BUDUĆEG RAZDOBLJA I OBRAČUNATI PRIHODI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E)  UKUPNO AKTIVA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(001+002+034+059)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13.816.844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13.464.892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type="dxa" w:w="5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dxa" w:w="66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9080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A)  KAPITAL I REZERVE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(063+064+065+071+072+075+078)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1.798.615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1.771.504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20.000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20.000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REZERVE IZ DOBITI (066+067-068+069+070)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499.733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491.901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499.733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491.901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 Vlastite dionice i udjeli (</w:t>
            </w:r>
            <w:proofErr w:type="spellStart"/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odbitna</w:t>
            </w:r>
            <w:proofErr w:type="spellEnd"/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ZADRŽANA DOBIT ILI PRENESENI GUBITAK (073-074)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1.263.385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1.263.385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1.263.385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1.263.385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VI. DOBIT ILI GUBITAK POSLOVNE GODINE (076-077)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-3.782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15.497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3.782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VII. MANJINSKI INTERES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B)  REZERVIRANJA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(080 do 082)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Druga rezerviranja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C)  DUGOROČNE OBVEZE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(084 do 092)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10.920.669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10.882.369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povezanim poduzetnicima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2.321.244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2.821.460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8.599.425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8.060.909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predujmove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prema dobavljačima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po vrijednosnim papirima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prema poduzetnicima u kojima postoje sudjelujući interesi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8. Ostale dugoročne obveze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Odgođena porezna obveza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D)  KRATKOROČNE OBVEZE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(094 do 105)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1.097.560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811.019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povezanim poduzetnicima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381.105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290.541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159.423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338.667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113.092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predujmove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prema dobavljačima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140.690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218.729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po vrijednosnim papirima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105.743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prema poduzetnicima u kojima postoje sudjelujući interesi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Obveze prema zaposlenicima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26.748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21.130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Obveze za poreze, doprinose i slična davanja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104.607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Obveze s osnove udjela u rezultatu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11. Obveze po osnovi dugotrajne imovine namijenjene prodaji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12. Ostale kratkoročne obveze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8.104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E) ODGOĐENO PLAĆANJE TROŠKOVA I PRIHOD BUDUĆEGA RAZDOBLJA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F) UKUPNO – PASIVA </w:t>
            </w:r>
            <w:r w:rsidRPr="00C9037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(062+079+083+093+106)</w:t>
            </w:r>
          </w:p>
        </w:tc>
        <w:tc>
          <w:tcPr>
            <w:tcW w:type="dxa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13.816.844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13.464.892</w:t>
            </w:r>
          </w:p>
        </w:tc>
      </w:tr>
      <w:tr w:rsidTr="0051252E" w:rsidR="00C90371" w:rsidRPr="00C90371">
        <w:trPr>
          <w:trHeight w:val="266"/>
        </w:trPr>
        <w:tc>
          <w:tcPr>
            <w:tcW w:type="dxa" w:w="5378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type="dxa" w:w="5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C90371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9037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Bilanca prikazuje stanje društva u 2015. godini i na datum 30.06.2016. godine i to kroz materijalnu imovinu, obveze (dugovanje) i kapital. Voćnjak d.o.o. u 100%-</w:t>
      </w:r>
      <w:proofErr w:type="spellStart"/>
      <w:r w:rsidRPr="00C90371">
        <w:rPr>
          <w:rFonts w:cs="Times New Roman" w:eastAsia="Calibri"/>
        </w:rPr>
        <w:t>tnom</w:t>
      </w:r>
      <w:proofErr w:type="spellEnd"/>
      <w:r w:rsidRPr="00C90371">
        <w:rPr>
          <w:rFonts w:cs="Times New Roman" w:eastAsia="Calibri"/>
        </w:rPr>
        <w:t xml:space="preserve"> je vlasništvu društva VRT d.o.o. koje je s osnove neplaćene obveze PDV-a blokirala Porezna uprava. Nakon toga reagirao je i kreditor VRT-a d.o.o. ERSTE&amp;STEIERMÄRKISCHE BANK d. </w:t>
      </w:r>
      <w:proofErr w:type="spellStart"/>
      <w:r w:rsidRPr="00C90371">
        <w:rPr>
          <w:rFonts w:cs="Times New Roman" w:eastAsia="Calibri"/>
        </w:rPr>
        <w:t>d.</w:t>
      </w:r>
      <w:proofErr w:type="spellEnd"/>
      <w:r w:rsidRPr="00C90371">
        <w:rPr>
          <w:rFonts w:cs="Times New Roman" w:eastAsia="Calibri"/>
        </w:rPr>
        <w:t>. te blokirao osim VRT-a d.o.o. i sve sudužnike po svim kreditnim obvezama. Jedan od tih sudužnika je i Voćnjak d.o.o.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360" w:after="200" w:before="240"/>
        <w:ind w:hanging="360" w:left="720"/>
        <w:outlineLvl w:val="1"/>
        <w:rPr>
          <w:rFonts w:cs="Times New Roman" w:eastAsia="Times New Roman"/>
          <w:b/>
          <w:bCs/>
        </w:rPr>
      </w:pPr>
      <w:bookmarkStart w:name="_Toc430627153" w:id="25"/>
      <w:bookmarkStart w:name="_Toc432416055" w:id="26"/>
      <w:bookmarkStart w:name="_Toc459304539" w:id="27"/>
      <w:r w:rsidRPr="00C90371">
        <w:rPr>
          <w:rFonts w:cs="Times New Roman" w:eastAsia="Times New Roman"/>
          <w:b/>
          <w:bCs/>
        </w:rPr>
        <w:lastRenderedPageBreak/>
        <w:t xml:space="preserve">Opis činjenica iz kojih proizlazi postojanje uvjeta za otvaranje postupaka </w:t>
      </w:r>
      <w:proofErr w:type="spellStart"/>
      <w:r w:rsidRPr="00C90371">
        <w:rPr>
          <w:rFonts w:cs="Times New Roman" w:eastAsia="Times New Roman"/>
          <w:b/>
          <w:bCs/>
        </w:rPr>
        <w:t>predstečajne</w:t>
      </w:r>
      <w:proofErr w:type="spellEnd"/>
      <w:r w:rsidRPr="00C90371">
        <w:rPr>
          <w:rFonts w:cs="Times New Roman" w:eastAsia="Times New Roman"/>
          <w:b/>
          <w:bCs/>
        </w:rPr>
        <w:t xml:space="preserve"> nagodbe</w:t>
      </w:r>
      <w:bookmarkEnd w:id="25"/>
      <w:bookmarkEnd w:id="26"/>
      <w:bookmarkEnd w:id="27"/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Sukladno čl. 18. Zakona o financijskom poslovanju i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nagodbi, u uvjetima nastupa nelikvidnosti i insolventnosti koje se ogleda u nemogućnosti da društvo poduzetim mjerama financijskog restrukturiranja izvan postupaka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 samo uspostavi stanje likvidnosti i solventnosti, društvo VOĆNJAK d.o.o., Matice Hrvatske 4/I, Bjelovar OIB: 52871551229 pokreće postupak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Činjenice i okolnosti iz kojih proizlazi postojanje uvjeta za otvaranje postupka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 dani su u nastavku.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Voćnjak d.o.o. u 100%-</w:t>
      </w:r>
      <w:proofErr w:type="spellStart"/>
      <w:r w:rsidRPr="00C90371">
        <w:rPr>
          <w:rFonts w:cs="Times New Roman" w:eastAsia="Calibri"/>
        </w:rPr>
        <w:t>tnom</w:t>
      </w:r>
      <w:proofErr w:type="spellEnd"/>
      <w:r w:rsidRPr="00C90371">
        <w:rPr>
          <w:rFonts w:cs="Times New Roman" w:eastAsia="Calibri"/>
        </w:rPr>
        <w:t xml:space="preserve"> je vlasništvu društva VRT d.o.o. koje je s osnove neplaćene obveze PDV-a blokirala Porezna uprava. Nakon toga reagirao je i kreditor VRT-a d.o.o. ERSTE&amp;STEIERMÄRKISCHE BANK d. </w:t>
      </w:r>
      <w:proofErr w:type="spellStart"/>
      <w:r w:rsidRPr="00C90371">
        <w:rPr>
          <w:rFonts w:cs="Times New Roman" w:eastAsia="Calibri"/>
        </w:rPr>
        <w:t>d.</w:t>
      </w:r>
      <w:proofErr w:type="spellEnd"/>
      <w:r w:rsidRPr="00C90371">
        <w:rPr>
          <w:rFonts w:cs="Times New Roman" w:eastAsia="Calibri"/>
        </w:rPr>
        <w:t>. te blokirao osim VRT-a d.o.o. i sve sudužnike po svim kreditnim obvezama. Jedan od tih sudužnika je i Voćnjak d.o.o.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360" w:after="0" w:before="480"/>
        <w:outlineLvl w:val="0"/>
        <w:rPr>
          <w:rFonts w:cs="Times New Roman" w:eastAsia="Times New Roman"/>
          <w:b/>
          <w:bCs/>
        </w:rPr>
      </w:pPr>
      <w:bookmarkStart w:name="_Toc430627154" w:id="28"/>
      <w:bookmarkStart w:name="_Toc432416056" w:id="29"/>
      <w:bookmarkStart w:name="_Toc459304540" w:id="30"/>
      <w:r w:rsidRPr="00C90371">
        <w:rPr>
          <w:rFonts w:cs="Times New Roman" w:eastAsia="Times New Roman"/>
          <w:b/>
          <w:bCs/>
        </w:rPr>
        <w:lastRenderedPageBreak/>
        <w:t>2. IZRAČUN MANJKA LIKVIDNIH SREDSTAVA NA DAN PRILOŽENIH FINANCIJSKIH IZVJEŠTAJA</w:t>
      </w:r>
      <w:bookmarkEnd w:id="28"/>
      <w:bookmarkEnd w:id="29"/>
      <w:bookmarkEnd w:id="30"/>
      <w:r w:rsidRPr="00C90371">
        <w:rPr>
          <w:rFonts w:cs="Times New Roman" w:eastAsia="Times New Roman"/>
          <w:b/>
          <w:bCs/>
        </w:rPr>
        <w:br/>
      </w:r>
    </w:p>
    <w:tbl>
      <w:tblPr>
        <w:tblW w:type="dxa" w:w="9093"/>
        <w:tblInd w:type="dxa" w:w="93"/>
        <w:tblLook w:val="04A0" w:noVBand="1" w:noHBand="0" w:lastColumn="0" w:firstColumn="1" w:lastRow="0" w:firstRow="1"/>
      </w:tblPr>
      <w:tblGrid>
        <w:gridCol w:w="1202"/>
        <w:gridCol w:w="5586"/>
        <w:gridCol w:w="2305"/>
      </w:tblGrid>
      <w:tr w:rsidTr="0051252E" w:rsidR="00C90371" w:rsidRPr="00C90371">
        <w:trPr>
          <w:trHeight w:val="318"/>
        </w:trPr>
        <w:tc>
          <w:tcPr>
            <w:tcW w:type="dxa" w:w="1202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Redni broj</w:t>
            </w:r>
          </w:p>
        </w:tc>
        <w:tc>
          <w:tcPr>
            <w:tcW w:type="dxa" w:w="5586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Pozicija</w:t>
            </w:r>
          </w:p>
        </w:tc>
        <w:tc>
          <w:tcPr>
            <w:tcW w:type="dxa" w:w="2305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30.06.2016.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</w:p>
        </w:tc>
        <w:tc>
          <w:tcPr>
            <w:tcW w:type="dxa" w:w="5586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(iznosi u kn)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Zalihe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1.119.188,00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Potraživanja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65.543,00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3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Kratkotrajna financijska imovina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4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Novac u banci i blagajni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9.499,00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I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UKUPNO LIKVIDNA IMOVINA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1.194.230,00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povezanim poduzetnicima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290.541,00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159.423</w:t>
            </w:r>
          </w:p>
        </w:tc>
      </w:tr>
      <w:tr w:rsidTr="0051252E" w:rsidR="00C90371" w:rsidRPr="00C90371">
        <w:trPr>
          <w:trHeight w:val="652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3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bankama i drugim financijskim institucijama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113.092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4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dobavljačima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218.729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5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zaposlenicima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21.130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6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Ostale kratkoročne obveze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8.104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II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KRATKOROČNE OBVEZE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811.019</w:t>
            </w:r>
          </w:p>
        </w:tc>
      </w:tr>
      <w:tr w:rsidTr="0051252E" w:rsidR="00C90371" w:rsidRPr="00C90371">
        <w:trPr>
          <w:trHeight w:val="334"/>
        </w:trPr>
        <w:tc>
          <w:tcPr>
            <w:tcW w:type="dxa" w:w="1202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III</w:t>
            </w:r>
          </w:p>
        </w:tc>
        <w:tc>
          <w:tcPr>
            <w:tcW w:type="dxa" w:w="5586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VIŠAK LIKVIDNIH SREDSTAVA (I-II)</w:t>
            </w:r>
          </w:p>
        </w:tc>
        <w:tc>
          <w:tcPr>
            <w:tcW w:type="dxa" w:w="2305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383.211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  <w:sectPr w:rsidSect="00D13345" w:rsidR="00C90371" w:rsidRPr="00C90371">
          <w:type w:val="continuous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  <w:r w:rsidRPr="00C90371">
        <w:rPr>
          <w:rFonts w:cs="Times New Roman" w:eastAsia="Calibri"/>
        </w:rPr>
        <w:t xml:space="preserve">Društvo je na dan 30.06.2015. godine iskazalo višak likvidnih sredstava u iznosu 383.211 kn a isti je iskazan kao razlika likvidne imovine i dospjelih obveza. Iznos prikazuje da je društvo  likvidno, a poduzeće je dugoročno insolventno pošto je blokirana od strane Porezne uprave jer nije bila u mogućnosti podmirivati svoje dospjele obveze. Nakon toga reagirao je i kreditor VRT-a d.o.o. ERSTE&amp;STEIERMÄRKISCHE BANK d. </w:t>
      </w:r>
      <w:proofErr w:type="spellStart"/>
      <w:r w:rsidRPr="00C90371">
        <w:rPr>
          <w:rFonts w:cs="Times New Roman" w:eastAsia="Calibri"/>
        </w:rPr>
        <w:t>d.</w:t>
      </w:r>
      <w:proofErr w:type="spellEnd"/>
      <w:r w:rsidRPr="00C90371">
        <w:rPr>
          <w:rFonts w:cs="Times New Roman" w:eastAsia="Calibri"/>
        </w:rPr>
        <w:t>. te blokirao osim VRT-a d.o.o. i sve sudužnike po svim kreditnim obvezama. Jedan od tih sudužnika je i Voćnjak d.o.o.</w:t>
      </w: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55" w:id="31"/>
      <w:bookmarkStart w:name="_Toc432416057" w:id="32"/>
      <w:bookmarkStart w:name="_Toc459304541" w:id="33"/>
      <w:r w:rsidRPr="00C90371">
        <w:rPr>
          <w:rFonts w:cs="Times New Roman" w:eastAsia="Times New Roman"/>
          <w:b/>
          <w:bCs/>
        </w:rPr>
        <w:lastRenderedPageBreak/>
        <w:t>3. OPIS MJERA FINANCIJSKOG RESTRUKTURIRANJA</w:t>
      </w:r>
      <w:bookmarkEnd w:id="31"/>
      <w:bookmarkEnd w:id="32"/>
      <w:bookmarkEnd w:id="33"/>
      <w:r w:rsidRPr="00C90371">
        <w:rPr>
          <w:rFonts w:cs="Times New Roman" w:eastAsia="Times New Roman"/>
          <w:b/>
          <w:bCs/>
        </w:rPr>
        <w:br/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Obveze društva na dan 30.06.2016. godine po grupama vjerovnika prikazane su u nastavku (iznosi u kn):</w:t>
      </w:r>
    </w:p>
    <w:tbl>
      <w:tblPr>
        <w:tblW w:type="dxa" w:w="13850"/>
        <w:tblInd w:type="dxa" w:w="93"/>
        <w:tblLook w:val="04A0" w:noVBand="1" w:noHBand="0" w:lastColumn="0" w:firstColumn="1" w:lastRow="0" w:firstRow="1"/>
      </w:tblPr>
      <w:tblGrid>
        <w:gridCol w:w="1319"/>
        <w:gridCol w:w="6403"/>
        <w:gridCol w:w="3023"/>
        <w:gridCol w:w="3105"/>
      </w:tblGrid>
      <w:tr w:rsidTr="0051252E" w:rsidR="00C90371" w:rsidRPr="00C90371">
        <w:trPr>
          <w:trHeight w:val="644"/>
        </w:trPr>
        <w:tc>
          <w:tcPr>
            <w:tcW w:type="dxa" w:w="13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RB</w:t>
            </w:r>
          </w:p>
        </w:tc>
        <w:tc>
          <w:tcPr>
            <w:tcW w:type="dxa" w:w="64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OPIS</w:t>
            </w:r>
          </w:p>
        </w:tc>
        <w:tc>
          <w:tcPr>
            <w:tcW w:type="dxa" w:w="30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UKUPNE OBVEZE</w:t>
            </w:r>
          </w:p>
        </w:tc>
        <w:tc>
          <w:tcPr>
            <w:tcW w:type="dxa" w:w="31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%</w:t>
            </w:r>
          </w:p>
        </w:tc>
      </w:tr>
      <w:tr w:rsidTr="0051252E" w:rsidR="00C90371" w:rsidRPr="00C90371">
        <w:trPr>
          <w:trHeight w:val="227"/>
        </w:trPr>
        <w:tc>
          <w:tcPr>
            <w:tcW w:type="dxa" w:w="13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6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Javna uprava i trgovačka društva u većinskom vlasništvu RH</w:t>
            </w:r>
          </w:p>
        </w:tc>
        <w:tc>
          <w:tcPr>
            <w:tcW w:type="dxa" w:w="3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125,00</w:t>
            </w:r>
          </w:p>
        </w:tc>
        <w:tc>
          <w:tcPr>
            <w:tcW w:type="dxa" w:w="3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37"/>
        </w:trPr>
        <w:tc>
          <w:tcPr>
            <w:tcW w:type="dxa" w:w="13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6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Financijske institucije</w:t>
            </w:r>
          </w:p>
        </w:tc>
        <w:tc>
          <w:tcPr>
            <w:tcW w:type="dxa" w:w="3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8.288.332,11</w:t>
            </w:r>
          </w:p>
        </w:tc>
        <w:tc>
          <w:tcPr>
            <w:tcW w:type="dxa" w:w="3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70,27%</w:t>
            </w:r>
          </w:p>
        </w:tc>
      </w:tr>
      <w:tr w:rsidTr="0051252E" w:rsidR="00C90371" w:rsidRPr="00C90371">
        <w:trPr>
          <w:trHeight w:val="337"/>
        </w:trPr>
        <w:tc>
          <w:tcPr>
            <w:tcW w:type="dxa" w:w="13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6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Ostali vjerovnici</w:t>
            </w:r>
          </w:p>
        </w:tc>
        <w:tc>
          <w:tcPr>
            <w:tcW w:type="dxa" w:w="3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3.485.202,57</w:t>
            </w:r>
          </w:p>
        </w:tc>
        <w:tc>
          <w:tcPr>
            <w:tcW w:type="dxa" w:w="3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29,55%</w:t>
            </w:r>
          </w:p>
        </w:tc>
      </w:tr>
      <w:tr w:rsidTr="0051252E" w:rsidR="00C90371" w:rsidRPr="00C90371">
        <w:trPr>
          <w:trHeight w:val="337"/>
        </w:trPr>
        <w:tc>
          <w:tcPr>
            <w:tcW w:type="dxa" w:w="13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6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Zaposlenici</w:t>
            </w:r>
          </w:p>
        </w:tc>
        <w:tc>
          <w:tcPr>
            <w:tcW w:type="dxa" w:w="3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21.130,00</w:t>
            </w:r>
          </w:p>
        </w:tc>
        <w:tc>
          <w:tcPr>
            <w:tcW w:type="dxa" w:w="3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0,18%</w:t>
            </w:r>
          </w:p>
        </w:tc>
      </w:tr>
      <w:tr w:rsidTr="0051252E" w:rsidR="00C90371" w:rsidRPr="00C90371">
        <w:trPr>
          <w:trHeight w:val="337"/>
        </w:trPr>
        <w:tc>
          <w:tcPr>
            <w:tcW w:type="dxa" w:w="13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4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3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11.794.789,68</w:t>
            </w:r>
          </w:p>
        </w:tc>
        <w:tc>
          <w:tcPr>
            <w:tcW w:type="dxa" w:w="3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100,00%</w:t>
            </w:r>
          </w:p>
        </w:tc>
      </w:tr>
    </w:tbl>
    <w:p w:rsidRDefault="00C90371" w:rsidP="00C90371" w:rsidR="00C90371" w:rsidRPr="00C90371">
      <w:pPr>
        <w:spacing w:before="24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>U svrhu restrukturiranja poslovanja tvrtke potrebno je poduzeti sljedeće mjere:</w:t>
      </w:r>
    </w:p>
    <w:p w:rsidRDefault="00C90371" w:rsidP="00C90371" w:rsidR="00C90371" w:rsidRPr="00C90371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 w:after="200"/>
        <w:ind w:right="-64" w:left="-46"/>
        <w:jc w:val="both"/>
        <w:rPr>
          <w:rFonts w:cs="Times New Roman" w:eastAsia="Calibri"/>
          <w:i/>
        </w:rPr>
      </w:pPr>
      <w:r w:rsidRPr="00C90371">
        <w:rPr>
          <w:rFonts w:cs="Times New Roman" w:eastAsia="Calibri"/>
          <w:b/>
          <w:i/>
          <w:u w:val="single"/>
        </w:rPr>
        <w:t xml:space="preserve">Za prvu grupu vjerovnika: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Dug prema Javnoj upravi i trgovačkim društvima u većinskom vlasništvu RH na dan 30.06.2016. godine iznosi </w:t>
      </w:r>
      <w:r w:rsidRPr="00C90371">
        <w:rPr>
          <w:rFonts w:cs="Times New Roman" w:eastAsia="Times New Roman"/>
          <w:color w:val="000000"/>
          <w:lang w:eastAsia="hr-HR"/>
        </w:rPr>
        <w:t>125,00</w:t>
      </w:r>
      <w:r w:rsidRPr="00C90371">
        <w:rPr>
          <w:rFonts w:cs="Times New Roman" w:eastAsia="Calibri"/>
        </w:rPr>
        <w:t xml:space="preserve"> kn. Kod Ministarstva financija i drugih tijela javne uprave i trgovačkih društava u većinskom državnom vlasništvu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sudom. Prioritetne tražbine prema državi će se izuzeti iz nagodbe i one će se prioritetno podmiriti.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tbl>
      <w:tblPr>
        <w:tblW w:type="dxa" w:w="14113"/>
        <w:tblInd w:type="dxa" w:w="93"/>
        <w:tblLook w:val="04A0" w:noVBand="1" w:noHBand="0" w:lastColumn="0" w:firstColumn="1" w:lastRow="0" w:firstRow="1"/>
      </w:tblPr>
      <w:tblGrid>
        <w:gridCol w:w="757"/>
        <w:gridCol w:w="1855"/>
        <w:gridCol w:w="1643"/>
        <w:gridCol w:w="2703"/>
        <w:gridCol w:w="995"/>
        <w:gridCol w:w="1031"/>
        <w:gridCol w:w="1785"/>
        <w:gridCol w:w="1785"/>
        <w:gridCol w:w="1559"/>
      </w:tblGrid>
      <w:tr w:rsidTr="0051252E" w:rsidR="00C90371" w:rsidRPr="00C90371">
        <w:trPr>
          <w:trHeight w:val="297"/>
        </w:trPr>
        <w:tc>
          <w:tcPr>
            <w:tcW w:type="dxa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9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IZNOS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OTPIS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OTPISANA VRIJEDNOST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VRIJEDNOST OTPLATE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297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FINA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2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Zagreb, Ulica grada Vukovara 70 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125,00</w:t>
            </w:r>
          </w:p>
        </w:tc>
        <w:tc>
          <w:tcPr>
            <w:tcW w:type="dxa" w:w="1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70,00%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87,50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0,63</w:t>
            </w:r>
          </w:p>
        </w:tc>
      </w:tr>
      <w:tr w:rsidTr="0051252E" w:rsidR="00C90371" w:rsidRPr="00C90371">
        <w:trPr>
          <w:trHeight w:val="297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125,00</w:t>
            </w:r>
          </w:p>
        </w:tc>
        <w:tc>
          <w:tcPr>
            <w:tcW w:type="dxa" w:w="1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>Za drugu grupu vjerovnika: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Dug prema financijskim institucijama na dan 30.06.2016.. godine iznosi </w:t>
      </w:r>
      <w:r w:rsidRPr="00C90371">
        <w:rPr>
          <w:rFonts w:cs="Times New Roman" w:eastAsia="Times New Roman"/>
          <w:color w:val="000000"/>
          <w:lang w:eastAsia="hr-HR"/>
        </w:rPr>
        <w:t xml:space="preserve">8.288.332,11 </w:t>
      </w:r>
      <w:r w:rsidRPr="00C90371">
        <w:rPr>
          <w:rFonts w:cs="Times New Roman" w:eastAsia="Calibri"/>
        </w:rPr>
        <w:t xml:space="preserve">kn.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sudom. </w:t>
      </w:r>
    </w:p>
    <w:tbl>
      <w:tblPr>
        <w:tblW w:type="dxa" w:w="14250"/>
        <w:tblInd w:type="dxa" w:w="93"/>
        <w:tblLook w:val="04A0" w:noVBand="1" w:noHBand="0" w:lastColumn="0" w:firstColumn="1" w:lastRow="0" w:firstRow="1"/>
      </w:tblPr>
      <w:tblGrid>
        <w:gridCol w:w="657"/>
        <w:gridCol w:w="3231"/>
        <w:gridCol w:w="1426"/>
        <w:gridCol w:w="2154"/>
        <w:gridCol w:w="1371"/>
        <w:gridCol w:w="960"/>
        <w:gridCol w:w="1549"/>
        <w:gridCol w:w="1549"/>
        <w:gridCol w:w="1353"/>
      </w:tblGrid>
      <w:tr w:rsidTr="0051252E" w:rsidR="00C90371" w:rsidRPr="00C90371">
        <w:trPr>
          <w:trHeight w:val="30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Miramarska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cesta 22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2.840,91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1.988,64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852,27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14,20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290,52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203,36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87,16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1,45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4.316.827,41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3.021.779,19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1.295.048,22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21.584,14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Zagreb, Ulica grada Vukovara 282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461,30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322,91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138,39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2,31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5.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Hrvatska banka za obnovu i razvitak - HBOR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Trg Josipa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Jurja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Strossmayera 9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3.948.174,01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2.763.721,81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1.184.452,20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19.740,87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PBZ CARD d.o.o.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Radnička cesta 44 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19.737,96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13.816,57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5.921,39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98,69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8.288.332,11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widowControl w:val="false"/>
        <w:numPr>
          <w:ilvl w:val="0"/>
          <w:numId w:val="45"/>
        </w:numPr>
        <w:autoSpaceDE w:val="false"/>
        <w:autoSpaceDN w:val="false"/>
        <w:spacing w:lineRule="auto" w:line="360" w:after="0" w:before="240"/>
        <w:ind w:hanging="357" w:left="357"/>
        <w:jc w:val="both"/>
        <w:rPr>
          <w:rFonts w:cs="Times New Roman" w:eastAsia="Times New Roman"/>
          <w:u w:val="single"/>
          <w:lang w:eastAsia="hr-HR" w:val="en-US"/>
        </w:rPr>
      </w:pP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za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razlučne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vjerovnike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s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pravom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odvojenog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namirenja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>: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promjena dospijeća tražbina - </w:t>
      </w:r>
      <w:proofErr w:type="spellStart"/>
      <w:r w:rsidRPr="00C90371">
        <w:rPr>
          <w:rFonts w:cs="Times New Roman" w:eastAsia="Calibri"/>
        </w:rPr>
        <w:t>reprogram</w:t>
      </w:r>
      <w:proofErr w:type="spellEnd"/>
      <w:r w:rsidRPr="00C90371">
        <w:rPr>
          <w:rFonts w:cs="Times New Roman" w:eastAsia="Calibri"/>
        </w:rPr>
        <w:t xml:space="preserve"> kreditnih obveza </w:t>
      </w:r>
      <w:proofErr w:type="spellStart"/>
      <w:r w:rsidRPr="00C90371">
        <w:rPr>
          <w:rFonts w:cs="Times New Roman" w:eastAsia="Calibri"/>
        </w:rPr>
        <w:t>razlučnih</w:t>
      </w:r>
      <w:proofErr w:type="spellEnd"/>
      <w:r w:rsidRPr="00C90371">
        <w:rPr>
          <w:rFonts w:cs="Times New Roman" w:eastAsia="Calibri"/>
        </w:rPr>
        <w:t xml:space="preserve"> vjerovnika s pravom odvojenoga namirenja na dulji rok i uz smanjenje visine trenutnih troškova financiranja (uz zadržavanje postojećih instrumenata osiguranja i zaštitnih mehanizama u vidu postojećih valutnih klauzula), na sljedeći način: </w:t>
      </w:r>
    </w:p>
    <w:p w:rsidRDefault="00C90371" w:rsidP="00C90371" w:rsidR="00C90371" w:rsidRPr="00C90371">
      <w:pPr>
        <w:numPr>
          <w:ilvl w:val="0"/>
          <w:numId w:val="47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</w:p>
    <w:p w:rsidRDefault="00C90371" w:rsidP="00C90371" w:rsidR="00C90371" w:rsidRPr="00C90371">
      <w:pPr>
        <w:spacing w:lineRule="auto" w:line="360" w:after="200"/>
        <w:ind w:left="7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ili 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 xml:space="preserve">odvojeno namirenje tražbina imovinom na kojoj je upisano </w:t>
      </w:r>
      <w:proofErr w:type="spellStart"/>
      <w:r w:rsidRPr="00C90371">
        <w:rPr>
          <w:rFonts w:cs="Times New Roman" w:eastAsia="Calibri"/>
        </w:rPr>
        <w:t>razlučno</w:t>
      </w:r>
      <w:proofErr w:type="spellEnd"/>
      <w:r w:rsidRPr="00C90371">
        <w:rPr>
          <w:rFonts w:cs="Times New Roman" w:eastAsia="Calibri"/>
        </w:rPr>
        <w:t xml:space="preserve"> pravo.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ERSTE&amp;STEIERMÄRKISCHE BANK d. d., OIB: 23057039320, Jadranski Trg 3/a, Rijeka u iznosu od 570.000,00 EUR na nekretnini broj </w:t>
      </w:r>
      <w:proofErr w:type="spellStart"/>
      <w:r w:rsidRPr="00C90371">
        <w:rPr>
          <w:rFonts w:cs="Times New Roman" w:eastAsia="Calibri"/>
        </w:rPr>
        <w:t>zk.ul</w:t>
      </w:r>
      <w:proofErr w:type="spellEnd"/>
      <w:r w:rsidRPr="00C90371">
        <w:rPr>
          <w:rFonts w:cs="Times New Roman" w:eastAsia="Calibri"/>
        </w:rPr>
        <w:t xml:space="preserve">. 4071, zemljišno knjižni odjel Vinkovci, k.o. </w:t>
      </w:r>
      <w:proofErr w:type="spellStart"/>
      <w:r w:rsidRPr="00C90371">
        <w:rPr>
          <w:rFonts w:cs="Times New Roman" w:eastAsia="Calibri"/>
        </w:rPr>
        <w:t>Ivankovo</w:t>
      </w:r>
      <w:proofErr w:type="spellEnd"/>
      <w:r w:rsidRPr="00C90371">
        <w:rPr>
          <w:rFonts w:cs="Times New Roman" w:eastAsia="Calibri"/>
        </w:rPr>
        <w:t>, br. kat. čestice: 1553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 xml:space="preserve">Za treću grupu vjerovnika: 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>1.  Obveze prema dobavljačima i ostalim vjerovnicima</w:t>
      </w:r>
      <w:r w:rsidRPr="00C90371">
        <w:rPr>
          <w:rFonts w:cs="Times New Roman" w:eastAsia="Calibri"/>
          <w:i/>
        </w:rPr>
        <w:t xml:space="preserve"> : 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  <w:r w:rsidRPr="00C90371">
        <w:rPr>
          <w:rFonts w:cs="Times New Roman" w:eastAsia="SimSun"/>
          <w:kern w:val="3"/>
          <w:lang w:eastAsia="hr-HR"/>
        </w:rPr>
        <w:t xml:space="preserve">Dug prema dobavljačima i ostalim vjerovnicima na dan 30.06.2016. godine iznosi 3.485.202,57 </w:t>
      </w:r>
      <w:r w:rsidRPr="00C90371">
        <w:rPr>
          <w:rFonts w:cs="Times New Roman" w:eastAsia="SimSun"/>
          <w:color w:val="000000"/>
          <w:kern w:val="3"/>
          <w:lang w:eastAsia="hr-HR"/>
        </w:rPr>
        <w:t>kn</w:t>
      </w:r>
      <w:r w:rsidRPr="00C90371">
        <w:rPr>
          <w:rFonts w:cs="Times New Roman" w:eastAsia="SimSun"/>
          <w:kern w:val="3"/>
          <w:lang w:eastAsia="hr-HR"/>
        </w:rPr>
        <w:t xml:space="preserve">.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 w:rsidRPr="00C90371">
        <w:rPr>
          <w:rFonts w:cs="Times New Roman" w:eastAsia="SimSun"/>
          <w:kern w:val="3"/>
          <w:lang w:eastAsia="hr-HR"/>
        </w:rPr>
        <w:t>predstečajnoj</w:t>
      </w:r>
      <w:proofErr w:type="spellEnd"/>
      <w:r w:rsidRPr="00C90371">
        <w:rPr>
          <w:rFonts w:cs="Times New Roman" w:eastAsia="SimSun"/>
          <w:kern w:val="3"/>
          <w:lang w:eastAsia="hr-HR"/>
        </w:rPr>
        <w:t xml:space="preserve"> nagodbi pred Trgovačkim sudom.</w:t>
      </w:r>
    </w:p>
    <w:tbl>
      <w:tblPr>
        <w:tblW w:type="dxa" w:w="14336"/>
        <w:tblInd w:type="dxa" w:w="93"/>
        <w:tblLook w:val="04A0" w:noVBand="1" w:noHBand="0" w:lastColumn="0" w:firstColumn="1" w:lastRow="0" w:firstRow="1"/>
      </w:tblPr>
      <w:tblGrid>
        <w:gridCol w:w="660"/>
        <w:gridCol w:w="3402"/>
        <w:gridCol w:w="1316"/>
        <w:gridCol w:w="2835"/>
        <w:gridCol w:w="1116"/>
        <w:gridCol w:w="960"/>
        <w:gridCol w:w="1428"/>
        <w:gridCol w:w="1428"/>
        <w:gridCol w:w="1250"/>
      </w:tblGrid>
      <w:tr w:rsidTr="0051252E" w:rsidR="00C90371" w:rsidRPr="00C90371">
        <w:trPr>
          <w:trHeight w:val="30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RBR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AGRARIA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46454798005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Čakovec,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Globetka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5.603,70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3.922,59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1.681,11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28,02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FINDRI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17770850990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Sesvete, Zagrebačka 76/a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6.875,74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4.813,02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2.062,72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34,38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FITO PROMET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68339203084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Mošćenička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15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29.175,00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20.422,50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8.752,50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145,88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HARD-JURA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60204973674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Josipa Jelačića 11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229,19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160,43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68,76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1,15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JAVNI BILJEŽNIK MARIJA KUSTIĆ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26027300253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Bjelovar, Dr. Ante Starčevića 5b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1.012,50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708,75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303,75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5,06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KALIDA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45575064321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Letičani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25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106,45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74,52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31,94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0,53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KUDEC, VOĆARSTVO I PROTUGRADNE MREŽE, IVAN KUDEC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82558732904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Hodošan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PALIH BORACA 1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91,00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0,65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MATOŠ VULKANIZER, Obrt za usluge i trgovinu,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. Tadija Matoš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63640210499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Gorjani 302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5.332,84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3.732,99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1.599,85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26,66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MGN-Metalna galanterija Novak,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97087294364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Varaždin, Eugena Kumičića 74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140,00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1,00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MINUS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19911375985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Vukovar, Trpinjska cesta 319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11.537,75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8.076,43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3.461,33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57,69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PA-VIN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59920925649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Jastrebarsko, Većeslava Holjevca 20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19.737,96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13.816,57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5.921,39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98,69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POLJOCENTAR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49929727453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Križevci, Obrtnička 12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105.743,19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74.020,23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31.722,96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528,72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SERVISIRANJE I POPRAVAK PROTUPOŽARNE OPREME I TRGOVAČKI OBRT " KRISTOVIĆ " VL. DAMIR KRISTOVIĆ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09376850203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A. STARČEVIĆA 13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28.049,00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19.634,30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8.414,70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140,25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290.541,00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203.378,70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87.162,30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1.452,71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WDF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79263523642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Globočec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Ludbreški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Ludbreška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116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31,50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0,23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504.319,32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b/>
          <w:i/>
          <w:kern w:val="3"/>
          <w:u w:val="single"/>
          <w:lang w:eastAsia="hr-HR"/>
        </w:rPr>
      </w:pPr>
      <w:r w:rsidRPr="00C90371">
        <w:rPr>
          <w:rFonts w:cs="Times New Roman" w:eastAsia="SimSun"/>
          <w:b/>
          <w:i/>
          <w:kern w:val="3"/>
          <w:u w:val="single"/>
          <w:lang w:eastAsia="hr-HR"/>
        </w:rPr>
        <w:lastRenderedPageBreak/>
        <w:t>2.Obveze po pozajmicama: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  <w:r w:rsidRPr="00C90371">
        <w:rPr>
          <w:rFonts w:cs="Times New Roman" w:eastAsia="Calibri"/>
        </w:rPr>
        <w:t xml:space="preserve">Kod obveza po pozajmicama isplata duga: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  <w:r w:rsidRPr="00C90371">
        <w:rPr>
          <w:rFonts w:cs="Times New Roman" w:eastAsia="Calibri" w:hAnsi="Calibri" w:ascii="Calibri"/>
          <w:sz w:val="22"/>
          <w:szCs w:val="22"/>
        </w:rPr>
        <w:t>.</w:t>
      </w:r>
    </w:p>
    <w:tbl>
      <w:tblPr>
        <w:tblW w:type="dxa" w:w="13981"/>
        <w:tblInd w:type="dxa" w:w="93"/>
        <w:tblLook w:val="04A0" w:noVBand="1" w:noHBand="0" w:lastColumn="0" w:firstColumn="1" w:lastRow="0" w:firstRow="1"/>
      </w:tblPr>
      <w:tblGrid>
        <w:gridCol w:w="643"/>
        <w:gridCol w:w="2122"/>
        <w:gridCol w:w="1372"/>
        <w:gridCol w:w="3242"/>
        <w:gridCol w:w="1320"/>
        <w:gridCol w:w="1001"/>
        <w:gridCol w:w="1489"/>
        <w:gridCol w:w="1489"/>
        <w:gridCol w:w="1303"/>
      </w:tblGrid>
      <w:tr w:rsidTr="0051252E" w:rsidR="00C90371" w:rsidRPr="00C90371">
        <w:trPr>
          <w:trHeight w:val="299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56077015541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361,20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252,84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108,36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1,81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17576035505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40.032,95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28.023,07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12.009,89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200,16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RATARSTVO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39141474711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70.343,81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49.240,67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21.103,14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351,72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Snježana Mirić Philips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58305904729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Vinkovci, Antuna Starčevića 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1.657,38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1.160,17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497,21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8,29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2.469.298,14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1.728.508,70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740.789,44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12.346,49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VRTINVEST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22535621645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399.189,77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279.432,84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119.756,93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1.995,95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2.980.883,25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widowControl w:val="false"/>
        <w:numPr>
          <w:ilvl w:val="0"/>
          <w:numId w:val="45"/>
        </w:numPr>
        <w:autoSpaceDE w:val="false"/>
        <w:autoSpaceDN w:val="false"/>
        <w:spacing w:lineRule="auto" w:line="360" w:after="0" w:before="240"/>
        <w:ind w:hanging="357" w:left="357"/>
        <w:jc w:val="both"/>
        <w:rPr>
          <w:rFonts w:cs="Times New Roman" w:eastAsia="Times New Roman"/>
          <w:u w:val="single"/>
          <w:lang w:eastAsia="hr-HR" w:val="en-US"/>
        </w:rPr>
      </w:pP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za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razlučne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vjerovnike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s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pravom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odvojenog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namirenja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>: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 xml:space="preserve">promjena dospijeća tražbina - </w:t>
      </w:r>
      <w:proofErr w:type="spellStart"/>
      <w:r w:rsidRPr="00C90371">
        <w:rPr>
          <w:rFonts w:cs="Times New Roman" w:eastAsia="Calibri"/>
        </w:rPr>
        <w:t>reprogram</w:t>
      </w:r>
      <w:proofErr w:type="spellEnd"/>
      <w:r w:rsidRPr="00C90371">
        <w:rPr>
          <w:rFonts w:cs="Times New Roman" w:eastAsia="Calibri"/>
        </w:rPr>
        <w:t xml:space="preserve"> kreditnih obveza </w:t>
      </w:r>
      <w:proofErr w:type="spellStart"/>
      <w:r w:rsidRPr="00C90371">
        <w:rPr>
          <w:rFonts w:cs="Times New Roman" w:eastAsia="Calibri"/>
        </w:rPr>
        <w:t>razlučnih</w:t>
      </w:r>
      <w:proofErr w:type="spellEnd"/>
      <w:r w:rsidRPr="00C90371">
        <w:rPr>
          <w:rFonts w:cs="Times New Roman" w:eastAsia="Calibri"/>
        </w:rPr>
        <w:t xml:space="preserve"> vjerovnika s pravom odvojenoga namirenja na dulji rok i uz smanjenje visine trenutnih troškova financiranja (uz zadržavanje postojećih instrumenata osiguranja i zaštitnih mehanizama u vidu postojećih valutnih klauzula), na sljedeći način: </w:t>
      </w:r>
    </w:p>
    <w:p w:rsidRDefault="00C90371" w:rsidP="00C90371" w:rsidR="00C90371" w:rsidRPr="00C90371">
      <w:pPr>
        <w:numPr>
          <w:ilvl w:val="0"/>
          <w:numId w:val="47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</w:p>
    <w:p w:rsidRDefault="00C90371" w:rsidP="00C90371" w:rsidR="00C90371" w:rsidRPr="00C90371">
      <w:pPr>
        <w:spacing w:lineRule="auto" w:line="360" w:after="200"/>
        <w:ind w:left="7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ili 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odvojeno namirenje tražbina imovinom na kojoj je upisano </w:t>
      </w:r>
      <w:proofErr w:type="spellStart"/>
      <w:r w:rsidRPr="00C90371">
        <w:rPr>
          <w:rFonts w:cs="Times New Roman" w:eastAsia="Calibri"/>
        </w:rPr>
        <w:t>razlučno</w:t>
      </w:r>
      <w:proofErr w:type="spellEnd"/>
      <w:r w:rsidRPr="00C90371">
        <w:rPr>
          <w:rFonts w:cs="Times New Roman" w:eastAsia="Calibri"/>
        </w:rPr>
        <w:t xml:space="preserve"> pravo.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spacing w:lineRule="auto" w:line="276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AGROFRUCTUS d.o.o., OIB: 07350499058, Industrijska zona Janjevci 6, Donji Miholjac u iznosu od 3.726.412,21 kn s kamatama od 7,5% godišnje na nekretnini broj </w:t>
      </w:r>
      <w:proofErr w:type="spellStart"/>
      <w:r w:rsidRPr="00C90371">
        <w:rPr>
          <w:rFonts w:cs="Times New Roman" w:eastAsia="Calibri"/>
        </w:rPr>
        <w:t>zk.ul</w:t>
      </w:r>
      <w:proofErr w:type="spellEnd"/>
      <w:r w:rsidRPr="00C90371">
        <w:rPr>
          <w:rFonts w:cs="Times New Roman" w:eastAsia="Calibri"/>
        </w:rPr>
        <w:t xml:space="preserve">. 4071, zemljišno knjižni odjel Vinkovci, k.o. </w:t>
      </w:r>
      <w:proofErr w:type="spellStart"/>
      <w:r w:rsidRPr="00C90371">
        <w:rPr>
          <w:rFonts w:cs="Times New Roman" w:eastAsia="Calibri"/>
        </w:rPr>
        <w:t>Ivankovo</w:t>
      </w:r>
      <w:proofErr w:type="spellEnd"/>
      <w:r w:rsidRPr="00C90371">
        <w:rPr>
          <w:rFonts w:cs="Times New Roman" w:eastAsia="Calibri"/>
        </w:rPr>
        <w:t>, br. kat. čestice: 1553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  <w:r w:rsidRPr="00C90371">
        <w:rPr>
          <w:rFonts w:cs="Times New Roman" w:eastAsia="SimSun"/>
          <w:kern w:val="3"/>
          <w:lang w:eastAsia="hr-HR"/>
        </w:rPr>
        <w:t>Solidarni dužnici, jamci, osobe s pravom regresa u slučaju regresne obveze preuzimaju uvjete namirenja identične uvjetima namirenja prema pojedinačnom vjerovniku za koje su solidarni dužnici, jamci ili imaju regresno pravo.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tbl>
      <w:tblPr>
        <w:tblW w:type="dxa" w:w="13759"/>
        <w:tblInd w:type="dxa" w:w="93"/>
        <w:tblLook w:val="04A0" w:noVBand="1" w:noHBand="0" w:lastColumn="0" w:firstColumn="1" w:lastRow="0" w:firstRow="1"/>
      </w:tblPr>
      <w:tblGrid>
        <w:gridCol w:w="1010"/>
        <w:gridCol w:w="3629"/>
        <w:gridCol w:w="2193"/>
        <w:gridCol w:w="4650"/>
        <w:gridCol w:w="2277"/>
      </w:tblGrid>
      <w:tr w:rsidTr="0051252E" w:rsidR="00C90371" w:rsidRPr="00C90371">
        <w:trPr>
          <w:trHeight w:val="307"/>
        </w:trPr>
        <w:tc>
          <w:tcPr>
            <w:tcW w:type="dxa" w:w="1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3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4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2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51252E" w:rsidR="00C90371" w:rsidRPr="00C90371">
        <w:trPr>
          <w:trHeight w:val="307"/>
        </w:trPr>
        <w:tc>
          <w:tcPr>
            <w:tcW w:type="dxa" w:w="10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RATARSTVO d.o.o.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39141474711</w:t>
            </w:r>
          </w:p>
        </w:tc>
        <w:tc>
          <w:tcPr>
            <w:tcW w:type="dxa" w:w="4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2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7"/>
        </w:trPr>
        <w:tc>
          <w:tcPr>
            <w:tcW w:type="dxa" w:w="10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 d.o.o.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68416812428</w:t>
            </w:r>
          </w:p>
        </w:tc>
        <w:tc>
          <w:tcPr>
            <w:tcW w:type="dxa" w:w="4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Bjelovar, Matice Hrvatske 4/I </w:t>
            </w:r>
          </w:p>
        </w:tc>
        <w:tc>
          <w:tcPr>
            <w:tcW w:type="dxa" w:w="2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8.265.001,42</w:t>
            </w:r>
          </w:p>
        </w:tc>
      </w:tr>
      <w:tr w:rsidTr="0051252E" w:rsidR="00C90371" w:rsidRPr="00C90371">
        <w:trPr>
          <w:trHeight w:val="307"/>
        </w:trPr>
        <w:tc>
          <w:tcPr>
            <w:tcW w:type="dxa" w:w="10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VRTINVEST d.o.o.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22535621645</w:t>
            </w:r>
          </w:p>
        </w:tc>
        <w:tc>
          <w:tcPr>
            <w:tcW w:type="dxa" w:w="4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2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7"/>
        </w:trPr>
        <w:tc>
          <w:tcPr>
            <w:tcW w:type="dxa" w:w="10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4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16.898.656,24</w:t>
            </w:r>
          </w:p>
        </w:tc>
      </w:tr>
    </w:tbl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rPr>
          <w:rFonts w:cs="Times New Roman" w:eastAsia="Calibri"/>
          <w:b/>
          <w:kern w:val="3"/>
          <w:u w:val="single"/>
          <w:shd w:fill="FFFFFF" w:color="auto" w:val="clear"/>
          <w:lang w:eastAsia="hr-HR"/>
        </w:rPr>
      </w:pPr>
      <w:r w:rsidRPr="00C90371">
        <w:rPr>
          <w:rFonts w:cs="Times New Roman" w:eastAsia="Calibri"/>
          <w:b/>
          <w:kern w:val="3"/>
          <w:u w:val="single"/>
          <w:shd w:fill="FFFFFF" w:color="auto" w:val="clear"/>
          <w:lang w:eastAsia="hr-HR"/>
        </w:rPr>
        <w:t>Dug prema zaposlenicima iznosi 21.130,00kn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Calibri"/>
          <w:kern w:val="3"/>
          <w:shd w:fill="FFFFFF" w:color="auto" w:val="clear"/>
          <w:lang w:eastAsia="hr-HR"/>
        </w:rPr>
      </w:pPr>
      <w:r w:rsidRPr="00C90371">
        <w:rPr>
          <w:rFonts w:cs="Times New Roman" w:eastAsia="Calibri"/>
          <w:kern w:val="3"/>
          <w:shd w:fill="FFFFFF" w:color="auto" w:val="clear"/>
          <w:lang w:eastAsia="hr-HR"/>
        </w:rPr>
        <w:t xml:space="preserve">Tražbine radnika iskazane su u financijskim izvještajima Društva po osnovi neto plaća u iznosu 21.130,00 kn na dan 30.06.2016. godine. Ako </w:t>
      </w:r>
      <w:proofErr w:type="spellStart"/>
      <w:r w:rsidRPr="00C90371">
        <w:rPr>
          <w:rFonts w:cs="Times New Roman" w:eastAsia="Calibri"/>
          <w:kern w:val="3"/>
          <w:shd w:fill="FFFFFF" w:color="auto" w:val="clear"/>
          <w:lang w:eastAsia="hr-HR"/>
        </w:rPr>
        <w:t>predstečajna</w:t>
      </w:r>
      <w:proofErr w:type="spellEnd"/>
      <w:r w:rsidRPr="00C90371">
        <w:rPr>
          <w:rFonts w:cs="Times New Roman" w:eastAsia="Calibri"/>
          <w:kern w:val="3"/>
          <w:shd w:fill="FFFFFF" w:color="auto" w:val="clear"/>
          <w:lang w:eastAsia="hr-HR"/>
        </w:rPr>
        <w:t xml:space="preserve"> nagodba bude sklopljena, društvo izjavljuje da neće imati učinka na tražbine radnika, te će one biti podmirene po prioritetnom postupku. 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>U nastavku se nalazi grafički prikaz strukture ukupnog duga prema vjerovnicima.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  <w:noProof/>
          <w:lang w:eastAsia="hr-HR"/>
        </w:rPr>
        <w:drawing>
          <wp:inline distR="0" distL="0" distB="0" distT="0">
            <wp:extent cy="3200400" cx="5486400"/>
            <wp:effectExtent b="0" r="19050" t="0" l="19050"/>
            <wp:docPr name="Chart 4" id="9"/>
            <wp:cNvGraphicFramePr/>
            <a:graphic>
              <a:graphicData uri="http://schemas.openxmlformats.org/drawingml/2006/chart">
                <c:chart r:id="rId24"/>
              </a:graphicData>
            </a:graphic>
          </wp:inline>
        </w:drawing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  <w:i/>
        </w:rPr>
        <w:sectPr w:rsidSect="000E548B" w:rsidR="00C90371" w:rsidRPr="00C90371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  <w:r w:rsidRPr="00C90371">
        <w:rPr>
          <w:rFonts w:cs="Times New Roman" w:eastAsia="Calibri"/>
          <w:i/>
        </w:rPr>
        <w:t>Grafički prikaz strukture ukupnog duga prema vjerovnicima</w:t>
      </w: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56" w:id="34"/>
      <w:bookmarkStart w:name="_Toc432416058" w:id="35"/>
      <w:bookmarkStart w:name="_Toc459304542" w:id="36"/>
      <w:r w:rsidRPr="00C90371">
        <w:rPr>
          <w:rFonts w:cs="Times New Roman" w:eastAsia="Times New Roman"/>
          <w:b/>
          <w:bCs/>
        </w:rPr>
        <w:lastRenderedPageBreak/>
        <w:t>4. OPIS MJERA OPERATIVNOG RESTRUKTURIRANJA</w:t>
      </w:r>
      <w:bookmarkEnd w:id="34"/>
      <w:bookmarkEnd w:id="35"/>
      <w:bookmarkEnd w:id="36"/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br/>
        <w:t xml:space="preserve">Društvo je već započelo s nekim operativnim mjerama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Radi bržeg dolaska do novca pribjegavalo se davanju popusta za avansne uplate.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Prodajne cijene poljoprivrednih proizvoda su u pravilu niske i jedva pokrivaju cijene koštanja ukoliko proizvođač plasira svoj proizvod preko posrednika/otkupljivača. Iz tog razloga temeljna pretpostavka razvoja voćarske proizvodnje je izgradnja hladnjače – uz bespovratna sredstva fondova ruralnog razvoja.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Osim optimalizacije troškova proizvodnje na kojem se već radi ne postoji puno prostora za dodatne mjere. Cilj je proizvesti vrhunski proizvod, samostalno se brinuti o njegovom čuvanju i na taj način plasiranjem vrhunskog proizvoda ostvariti što veću cijenu na tržištu.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Plaće su posljednjih 10 mjeseci svedene na zakonom propisani minimalni iznos plaće, a s obzirom da su se plaće krenule smanjivati od rujna 2014. godine veliki broj ljudi je sporazumno raskinuo radni odnos.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Tako da će nakon </w:t>
      </w:r>
      <w:proofErr w:type="spellStart"/>
      <w:r w:rsidRPr="00C90371">
        <w:rPr>
          <w:rFonts w:cs="Times New Roman" w:eastAsia="Calibri"/>
        </w:rPr>
        <w:t>predstečajnog</w:t>
      </w:r>
      <w:proofErr w:type="spellEnd"/>
      <w:r w:rsidRPr="00C90371">
        <w:rPr>
          <w:rFonts w:cs="Times New Roman" w:eastAsia="Calibri"/>
        </w:rPr>
        <w:t xml:space="preserve"> postupka nastaviti sa starim mjerama te uvesti neke nove mjere dane u nastavku: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Optimizacija radnih procesa</w:t>
      </w:r>
    </w:p>
    <w:p w:rsidRDefault="00C90371" w:rsidP="00C90371" w:rsidR="00C90371" w:rsidRPr="00C90371">
      <w:pPr>
        <w:spacing w:lineRule="auto" w:line="360" w:after="200"/>
        <w:ind w:left="360"/>
        <w:rPr>
          <w:rFonts w:cs="Times New Roman" w:eastAsia="Calibri"/>
        </w:rPr>
      </w:pPr>
      <w:proofErr w:type="spellStart"/>
      <w:r w:rsidRPr="00C90371">
        <w:rPr>
          <w:rFonts w:cs="Times New Roman" w:eastAsia="Calibri"/>
        </w:rPr>
        <w:t>Nadglednjem</w:t>
      </w:r>
      <w:proofErr w:type="spellEnd"/>
      <w:r w:rsidRPr="00C90371">
        <w:rPr>
          <w:rFonts w:cs="Times New Roman" w:eastAsia="Calibri"/>
        </w:rPr>
        <w:t xml:space="preserve"> rukovoditelja pojedinog centra odgovornosti – fizičkom </w:t>
      </w:r>
      <w:proofErr w:type="spellStart"/>
      <w:r w:rsidRPr="00C90371">
        <w:rPr>
          <w:rFonts w:cs="Times New Roman" w:eastAsia="Calibri"/>
        </w:rPr>
        <w:t>pristutnošću</w:t>
      </w:r>
      <w:proofErr w:type="spellEnd"/>
      <w:r w:rsidRPr="00C90371">
        <w:rPr>
          <w:rFonts w:cs="Times New Roman" w:eastAsia="Calibri"/>
        </w:rPr>
        <w:t xml:space="preserve"> ili proučavanjem evidencije rada te utrošenog vremena i dobivenog rezultata.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/>
        <w:contextualSpacing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Smanjenje troškova </w:t>
      </w:r>
    </w:p>
    <w:p w:rsidRDefault="00C90371" w:rsidP="00C90371" w:rsidR="00C90371" w:rsidRPr="00C90371">
      <w:pPr>
        <w:spacing w:lineRule="auto" w:line="360" w:after="200"/>
        <w:ind w:left="36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Očekuje se oslobađanje novčanog toka u narednom periodu ukoliko se uspješno provede plan restrukturiranja u odnosu na postojeće vjerovnike. Naime, s obzirom da je Voćnjak d.o.o. tvrtka sezonskog karaktera poslovanja, u prethodnom razdoblju se borila s nesolventnošću jer moguća prodaje vlastitih proizvoda ovisi o periodu u godini, a period realizacije prodaje nastupa krajem godine. </w:t>
      </w:r>
    </w:p>
    <w:p w:rsidRDefault="00C90371" w:rsidP="00C90371" w:rsidR="00C90371" w:rsidRPr="00C90371">
      <w:pPr>
        <w:spacing w:lineRule="auto" w:line="360" w:after="200"/>
        <w:ind w:left="36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>Troškovi redovitog poslovanja smanjuju se  tako što se troškovi struje i plina se racionaliziraju, optimiziraju se interni poslovni procesi, racionalno se pristupa nabavi , smanjuju se troškovi telefona, goriva, potrošnog materijala</w:t>
      </w: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59304543" w:id="37"/>
      <w:bookmarkStart w:name="_Toc430627157" w:id="38"/>
      <w:bookmarkStart w:name="_Toc432416059" w:id="39"/>
      <w:r w:rsidRPr="00C90371">
        <w:rPr>
          <w:rFonts w:cs="Times New Roman" w:eastAsia="Times New Roman"/>
          <w:b/>
          <w:bCs/>
        </w:rPr>
        <w:t>5. PLAN POSLOVANJA</w:t>
      </w:r>
      <w:bookmarkEnd w:id="37"/>
      <w:r w:rsidRPr="00C90371">
        <w:rPr>
          <w:rFonts w:cs="Times New Roman" w:eastAsia="Times New Roman"/>
          <w:b/>
          <w:bCs/>
        </w:rPr>
        <w:t xml:space="preserve"> </w:t>
      </w:r>
      <w:bookmarkEnd w:id="38"/>
      <w:bookmarkEnd w:id="39"/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Ključne pretpostavke projekcije poslovanja: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Projekcija računa dobiti i gubitka utvrđena je za 2 godine poslovanja, a podlogu za izračun čine utvrđene kategorije u Planu restrukturiranja (tržišne okolnosti, utjecaj na prodajnu i troškovnu učinkovitost, utjecaj financijskog restrukturiranja).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C90371" w:rsidP="00C90371" w:rsidR="00C90371" w:rsidRPr="00C90371">
      <w:pPr>
        <w:numPr>
          <w:ilvl w:val="1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Stabilizacija prihoda, povećanje bruto, marže i poboljšanje naplate dodatnim instrumentima osiguranja, a zasnivaju se na predviđenom utjecaju projekta restrukturiranja kao i na likvidnom poslovanju dok kojeg se došlo putem </w:t>
      </w:r>
      <w:proofErr w:type="spellStart"/>
      <w:r w:rsidRPr="00C90371">
        <w:rPr>
          <w:rFonts w:cs="Times New Roman" w:eastAsia="Calibri"/>
        </w:rPr>
        <w:t>resporegama</w:t>
      </w:r>
      <w:proofErr w:type="spellEnd"/>
      <w:r w:rsidRPr="00C90371">
        <w:rPr>
          <w:rFonts w:cs="Times New Roman" w:eastAsia="Calibri"/>
        </w:rPr>
        <w:t xml:space="preserve"> obveza.</w:t>
      </w:r>
    </w:p>
    <w:p w:rsidRDefault="00C90371" w:rsidP="00C90371" w:rsidR="00C90371" w:rsidRPr="00C90371">
      <w:pPr>
        <w:numPr>
          <w:ilvl w:val="1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Rast prihoda kroz povećanje kanala prodaje (novi kupci, suradnje sa postojećim kupcima, proširenje tržišta-EU)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Troškovi – projekcija troškova unutar prikazanog računa dobiti i gubitka temelji se na projiciranju svake pojedine stavke troškova, od kojih su ključni:</w:t>
      </w:r>
    </w:p>
    <w:p w:rsidRDefault="00C90371" w:rsidP="00C90371" w:rsidR="00C90371" w:rsidRPr="00C90371">
      <w:pPr>
        <w:numPr>
          <w:ilvl w:val="1"/>
          <w:numId w:val="44"/>
        </w:numPr>
        <w:spacing w:lineRule="auto" w:line="360" w:after="200" w:before="24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Smanjenje operativnih troškova koje će se ostvariti kroz povećan opseg posla i veće marže.</w:t>
      </w:r>
    </w:p>
    <w:p w:rsidRDefault="00C90371" w:rsidP="00C90371" w:rsidR="00C90371" w:rsidRPr="00C90371">
      <w:pPr>
        <w:numPr>
          <w:ilvl w:val="0"/>
          <w:numId w:val="44"/>
        </w:numPr>
        <w:spacing w:lineRule="auto" w:line="360" w:after="200" w:before="120"/>
        <w:ind w:hanging="357" w:left="714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U nastavku prikazujemo prosječne mjesečne troškove za nesmetano poslovanje (iznosi u kn), a odnose se na osnovne troškove poslovanja društva. U navedene troškove uključeni su troškovi repromaterijala, energije, održavanja, plaće i otplate.</w:t>
      </w:r>
    </w:p>
    <w:tbl>
      <w:tblPr>
        <w:tblW w:type="dxa" w:w="9043"/>
        <w:tblInd w:type="dxa" w:w="93"/>
        <w:tblLook w:val="04A0" w:noVBand="1" w:noHBand="0" w:lastColumn="0" w:firstColumn="1" w:lastRow="0" w:firstRow="1"/>
      </w:tblPr>
      <w:tblGrid>
        <w:gridCol w:w="597"/>
        <w:gridCol w:w="7022"/>
        <w:gridCol w:w="1424"/>
      </w:tblGrid>
      <w:tr w:rsidTr="0051252E" w:rsidR="00C90371" w:rsidRPr="00C90371">
        <w:trPr>
          <w:trHeight w:val="296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70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4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POMOĆNI MATERIJALI I SREDSTVA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135,85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MATERIJAL ZA ČIŠĆENJE I ODRŽAVANJE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257,48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MATERIJALNI TROŠKOVI NABAVLJENE HRANE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876,23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PAPIR, PISAĆE VRPCE, OLOVKE, TISKANICE, MATERIJAL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141,89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OSTALI MATERIJALNI TROŠKOVI U ADMINISTRACIJI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30,00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POTROŠENI REZERVNI DIJELOVI ZA ODRŽAVANJE I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2.340,03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DIZELSKO GORIVO, BENZIN I MOTORNO ULJE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1.054,82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70% TROŠKOVA GORIVA ZA POGON AUTOMOBILA, PLOVILA,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162,88</w:t>
            </w:r>
          </w:p>
        </w:tc>
      </w:tr>
      <w:tr w:rsidTr="0051252E" w:rsidR="00C90371" w:rsidRPr="00C90371">
        <w:trPr>
          <w:trHeight w:val="34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30% GORIVA ZA OSOBNI PRIJEVOZ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69,81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USLUGE TELEFONA, INTERNETA I SL.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154,27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NABAVLJENE USLUGE TEKUĆEG ODRŽAVANJA ( BEZ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783,30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TROŠKOVI REGISTRACIJE DOSTAVNIH I TERETNIH VOZILA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81,55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KONZULTANTSKE USLUGE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400,00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KNJIGOVODSTVENE USLUGE VOĐENJA POSLOVNIH KNJIGA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ODVJETNIČKE ,BILJEŽNIČKE I USLUGE PRAVNIH AKATA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355,00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AMORTIZACIJA OBJEKATA I OPREME KOJA SUDJELUJE U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3.155,63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PREMIJE OSIGURANJA PROMETNIH SREDSTAVA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99,39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TROŠKOVI PLATNOG PROMETA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343,59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TROŠKOVI STRUČNOG OBRAZOVANJA ( SEMINARI, STRUČNI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133,33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SUDSKI TROŠKOVI I PRISTOJBE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250,83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VETERINARSKE USLUGE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169,54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OSTALI NESPOMENUTI NEMATERIJALNI TROŠKOVI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25,00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KAMATE NA KREDITE, IZ FINANCIJSKOG LIZINGA I SL.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2.925,39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ZATEZNE KAMATE IZ OBVEZNIH ODNOSA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339,61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sz w:val="20"/>
                <w:szCs w:val="20"/>
                <w:lang w:eastAsia="hr-HR"/>
              </w:rPr>
              <w:t>ZATEZNE KAMATE NA POREZE, DOPRINOSE I DR. DAVANJA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394,48</w:t>
            </w:r>
          </w:p>
        </w:tc>
      </w:tr>
      <w:tr w:rsidTr="0051252E" w:rsidR="00C90371" w:rsidRPr="00C90371">
        <w:trPr>
          <w:trHeight w:val="29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70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19.679,91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Projekcija prihoda (2016.-2018.)</w:t>
      </w: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  <w:r w:rsidRPr="00C90371">
        <w:rPr>
          <w:rFonts w:cs="Times New Roman" w:eastAsia="Calibri"/>
        </w:rPr>
        <w:t>Tablica planiranih prihoda (iznosi u kn)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N w:val="false"/>
        <w:spacing w:lineRule="auto" w:line="276" w:after="0"/>
        <w:ind w:firstLine="0" w:left="0"/>
        <w:rPr>
          <w:rFonts w:cs="Times New Roman" w:eastAsia="SimSun"/>
          <w:color w:val="FF0000"/>
          <w:kern w:val="3"/>
          <w:lang w:eastAsia="hr-HR"/>
        </w:rPr>
      </w:pPr>
      <w:r w:rsidRPr="00C90371">
        <w:rPr>
          <w:rFonts w:cs="Times New Roman" w:eastAsia="SimSun"/>
          <w:color w:val="FF0000"/>
          <w:kern w:val="3"/>
          <w:lang w:eastAsia="hr-HR"/>
        </w:rPr>
        <w:t xml:space="preserve">   </w:t>
      </w:r>
    </w:p>
    <w:tbl>
      <w:tblPr>
        <w:tblW w:type="dxa" w:w="9180"/>
        <w:tblInd w:type="dxa" w:w="93"/>
        <w:tblLook w:val="04A0" w:noVBand="1" w:noHBand="0" w:lastColumn="0" w:firstColumn="1" w:lastRow="0" w:firstRow="1"/>
      </w:tblPr>
      <w:tblGrid>
        <w:gridCol w:w="1087"/>
        <w:gridCol w:w="3563"/>
        <w:gridCol w:w="1356"/>
        <w:gridCol w:w="1058"/>
        <w:gridCol w:w="1058"/>
        <w:gridCol w:w="1058"/>
      </w:tblGrid>
      <w:tr w:rsidTr="0051252E" w:rsidR="00C90371" w:rsidRPr="00C90371">
        <w:trPr>
          <w:trHeight w:val="330"/>
        </w:trPr>
        <w:tc>
          <w:tcPr>
            <w:tcW w:type="dxa" w:w="11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dxa" w:w="36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Opis</w:t>
            </w:r>
          </w:p>
        </w:tc>
        <w:tc>
          <w:tcPr>
            <w:tcW w:type="dxa" w:w="12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30.06.2016,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11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Poslovni prihod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354.651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410.000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480.000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552.000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11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Ukupni prihod</w:t>
            </w:r>
          </w:p>
        </w:tc>
        <w:tc>
          <w:tcPr>
            <w:tcW w:type="dxa" w:w="12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354.651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410.000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480.000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552.000</w:t>
            </w:r>
          </w:p>
        </w:tc>
      </w:tr>
    </w:tbl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N w:val="false"/>
        <w:spacing w:lineRule="auto" w:line="276" w:after="0"/>
        <w:ind w:firstLine="0" w:left="0"/>
        <w:rPr>
          <w:rFonts w:cs="Times New Roman" w:eastAsia="SimSun"/>
          <w:color w:val="FF0000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N w:val="false"/>
        <w:spacing w:lineRule="auto" w:line="276" w:after="0"/>
        <w:ind w:firstLine="0" w:left="0"/>
        <w:rPr>
          <w:rFonts w:cs="Times New Roman" w:eastAsia="SimSun"/>
          <w:color w:val="FF0000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N w:val="false"/>
        <w:spacing w:lineRule="auto" w:line="276" w:after="0"/>
        <w:ind w:firstLine="0" w:left="0"/>
        <w:rPr>
          <w:rFonts w:cs="Times New Roman" w:eastAsia="SimSun"/>
          <w:color w:val="FF0000"/>
          <w:kern w:val="3"/>
          <w:lang w:eastAsia="hr-HR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Projekcija troškova (2016.-2018.)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jc w:val="center"/>
        <w:rPr>
          <w:rFonts w:cs="Times New Roman" w:eastAsia="Calibri"/>
        </w:rPr>
      </w:pPr>
      <w:r w:rsidRPr="00C90371">
        <w:rPr>
          <w:rFonts w:cs="Times New Roman" w:eastAsia="Calibri"/>
        </w:rPr>
        <w:t>Tablica planiranih troškova (iznosi u kn)</w:t>
      </w:r>
    </w:p>
    <w:tbl>
      <w:tblPr>
        <w:tblW w:type="dxa" w:w="9331"/>
        <w:tblInd w:type="dxa" w:w="93"/>
        <w:tblLook w:val="04A0" w:noVBand="1" w:noHBand="0" w:lastColumn="0" w:firstColumn="1" w:lastRow="0" w:firstRow="1"/>
      </w:tblPr>
      <w:tblGrid>
        <w:gridCol w:w="1119"/>
        <w:gridCol w:w="3720"/>
        <w:gridCol w:w="1378"/>
        <w:gridCol w:w="1038"/>
        <w:gridCol w:w="1038"/>
        <w:gridCol w:w="1038"/>
      </w:tblGrid>
      <w:tr w:rsidTr="0051252E" w:rsidR="00C90371" w:rsidRPr="00C90371">
        <w:trPr>
          <w:trHeight w:val="345"/>
        </w:trPr>
        <w:tc>
          <w:tcPr>
            <w:tcW w:type="dxa" w:w="11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 xml:space="preserve">Redni </w:t>
            </w: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Broj</w:t>
            </w:r>
          </w:p>
        </w:tc>
        <w:tc>
          <w:tcPr>
            <w:tcW w:type="dxa" w:w="37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Opis</w:t>
            </w:r>
          </w:p>
        </w:tc>
        <w:tc>
          <w:tcPr>
            <w:tcW w:type="dxa" w:w="13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30.06.2016.</w:t>
            </w:r>
          </w:p>
        </w:tc>
        <w:tc>
          <w:tcPr>
            <w:tcW w:type="dxa" w:w="10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0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0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51252E" w:rsidR="00C90371" w:rsidRPr="00C90371">
        <w:trPr>
          <w:trHeight w:val="345"/>
        </w:trPr>
        <w:tc>
          <w:tcPr>
            <w:tcW w:type="dxa" w:w="1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dxa" w:w="3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type="dxa" w:w="13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98.574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103.000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108.000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120.000</w:t>
            </w:r>
          </w:p>
        </w:tc>
      </w:tr>
      <w:tr w:rsidTr="0051252E" w:rsidR="00C90371" w:rsidRPr="00C90371">
        <w:trPr>
          <w:trHeight w:val="345"/>
        </w:trPr>
        <w:tc>
          <w:tcPr>
            <w:tcW w:type="dxa" w:w="1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type="dxa" w:w="13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43.447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45.200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47.100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49.000</w:t>
            </w:r>
          </w:p>
        </w:tc>
      </w:tr>
      <w:tr w:rsidTr="0051252E" w:rsidR="00C90371" w:rsidRPr="00C90371">
        <w:trPr>
          <w:trHeight w:val="345"/>
        </w:trPr>
        <w:tc>
          <w:tcPr>
            <w:tcW w:type="dxa" w:w="1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Amortizacija</w:t>
            </w:r>
          </w:p>
        </w:tc>
        <w:tc>
          <w:tcPr>
            <w:tcW w:type="dxa" w:w="13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18.934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20.800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22.000</w:t>
            </w:r>
          </w:p>
        </w:tc>
      </w:tr>
      <w:tr w:rsidTr="0051252E" w:rsidR="00C90371" w:rsidRPr="00C90371">
        <w:trPr>
          <w:trHeight w:val="345"/>
        </w:trPr>
        <w:tc>
          <w:tcPr>
            <w:tcW w:type="dxa" w:w="1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type="dxa" w:w="13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18.110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19.000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20.800</w:t>
            </w:r>
          </w:p>
        </w:tc>
      </w:tr>
      <w:tr w:rsidTr="0051252E" w:rsidR="00C90371" w:rsidRPr="00C90371">
        <w:trPr>
          <w:trHeight w:val="345"/>
        </w:trPr>
        <w:tc>
          <w:tcPr>
            <w:tcW w:type="dxa" w:w="1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Ukupni rashod</w:t>
            </w:r>
          </w:p>
        </w:tc>
        <w:tc>
          <w:tcPr>
            <w:tcW w:type="dxa" w:w="137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358.433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380.000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440.000</w:t>
            </w:r>
          </w:p>
        </w:tc>
        <w:tc>
          <w:tcPr>
            <w:tcW w:type="dxa" w:w="10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500.000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  <w:r w:rsidRPr="00C90371">
        <w:rPr>
          <w:rFonts w:cs="Times New Roman" w:eastAsia="Calibri"/>
        </w:rPr>
        <w:t>Projekcija računa dobiti i gubitka (2016.-2018.) (iznosi u kn)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tbl>
      <w:tblPr>
        <w:tblW w:type="dxa" w:w="9375"/>
        <w:tblInd w:type="dxa" w:w="93"/>
        <w:tblLook w:val="04A0" w:noVBand="1" w:noHBand="0" w:lastColumn="0" w:firstColumn="1" w:lastRow="0" w:firstRow="1"/>
      </w:tblPr>
      <w:tblGrid>
        <w:gridCol w:w="1064"/>
        <w:gridCol w:w="3323"/>
        <w:gridCol w:w="1385"/>
        <w:gridCol w:w="1201"/>
        <w:gridCol w:w="1201"/>
        <w:gridCol w:w="1201"/>
      </w:tblGrid>
      <w:tr w:rsidTr="0051252E" w:rsidR="00C90371" w:rsidRPr="00C90371">
        <w:trPr>
          <w:trHeight w:val="327"/>
        </w:trPr>
        <w:tc>
          <w:tcPr>
            <w:tcW w:type="dxa" w:w="106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dxa" w:w="3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Opis</w:t>
            </w:r>
          </w:p>
        </w:tc>
        <w:tc>
          <w:tcPr>
            <w:tcW w:type="dxa" w:w="13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30.06.2016.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I.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Ukupni prihodi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354.651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410.000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480.000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552.000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II.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Rashodi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358.433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380.000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440.000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500.000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98.574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103.000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108.000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120.000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43.447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45.200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47.100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49.000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Amortizacija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18.934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20.800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22.000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18.110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19.000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20.000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20.800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III.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Dobit prije oporezivanja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-3.782,00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30.000,00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40.000,00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52.000,00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IV.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Porez na dobit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6.000,00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8.000,00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10.400,00</w:t>
            </w:r>
          </w:p>
        </w:tc>
      </w:tr>
      <w:tr w:rsidTr="0051252E" w:rsidR="00C90371" w:rsidRPr="00C90371">
        <w:trPr>
          <w:trHeight w:val="327"/>
        </w:trPr>
        <w:tc>
          <w:tcPr>
            <w:tcW w:type="dxa" w:w="106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V.</w:t>
            </w:r>
          </w:p>
        </w:tc>
        <w:tc>
          <w:tcPr>
            <w:tcW w:type="dxa" w:w="3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Neto dobit</w:t>
            </w:r>
          </w:p>
        </w:tc>
        <w:tc>
          <w:tcPr>
            <w:tcW w:type="dxa" w:w="13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-3.782,00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24.000,00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32.000,00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41.600,00</w:t>
            </w:r>
          </w:p>
        </w:tc>
      </w:tr>
    </w:tbl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rPr>
          <w:rFonts w:cs="Times New Roman" w:eastAsia="Calibri"/>
        </w:rPr>
      </w:pPr>
      <w:proofErr w:type="spellStart"/>
      <w:r w:rsidRPr="00C90371">
        <w:rPr>
          <w:rFonts w:cs="Times New Roman" w:eastAsia="Calibri"/>
        </w:rPr>
        <w:t>Projecirani</w:t>
      </w:r>
      <w:proofErr w:type="spellEnd"/>
      <w:r w:rsidRPr="00C90371">
        <w:rPr>
          <w:rFonts w:cs="Times New Roman" w:eastAsia="Calibri"/>
        </w:rPr>
        <w:t xml:space="preserve"> račun dobiti i gubitka iskazuje održivost predloženog poslovnog modela na razini neto dobiti.</w:t>
      </w:r>
    </w:p>
    <w:p w:rsidRDefault="00C90371" w:rsidP="00C90371" w:rsidR="00C90371" w:rsidRPr="00C90371">
      <w:pPr>
        <w:spacing w:lineRule="auto" w:line="360" w:before="240"/>
        <w:rPr>
          <w:rFonts w:cs="Times New Roman" w:eastAsia="Calibri"/>
        </w:rPr>
      </w:pPr>
      <w:r w:rsidRPr="00C90371">
        <w:rPr>
          <w:rFonts w:cs="Times New Roman" w:eastAsia="Calibri"/>
        </w:rPr>
        <w:t>U 2016. godini uz stabilizaciju prihoda te povećanje bruto marže i smanjenje operativnih troškova poslovanja društva će biti pozitivno.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lastRenderedPageBreak/>
        <w:t>Temeljna pretpostavka razvoja je razvoj voćarske proizvodnje te izgradnja hladnjače kapaciteta 5.000 tona na nekretnini VRT-a d.o.o. u Ždralovima kraj Bjelovara.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Projekt je planiran kao zajednički investicijski projekt tvrtki VRT d.o.o. (Nositelj projekta) i Voćnjak d.o.o. (Partner u projektu) kojim je tvrtka VRT d.o.o. aplicirala na EAFRD - Mjeru 4.1.1. (Restrukturiranje, modernizacija i povećanje konkurentnosti poljoprivrednih gospodarstava) pod nazivom “Prijem, sortiranje, prerada i skladištenje voća”.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Svrha investicije je postizanje konkurentnije pozicije kroz povećanje učinkovitosti proizvodnje, stvaranje novih skladišnih kapaciteta, uvođenje tehnologije i razvijanje tehnoloških procesa s ciljem postizanja kvalitetnije kontrole procesa, smanjenje utroška energije i poboljšavanje energetske učinkovitosti, te stvaranja uvjeta koji omogućavaju efikasniju kontrolu nad vlastitom kvalitetom jabuke nakon čega slijedi prodaja i distribucija visoko kvalitetnog proizvoda maksimalno prilagođenog kupcu (način sortiranja i pakiranja) u trenutku kada je tržišna cijena najprihvatljivija.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Investicija se sastoji od izgradnje i opremanja ULO hladnjače (ULO =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Ultra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low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oxygen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>) za skladištenje jabuka i gotovih proizvoda te izgradnje i opremanja pogona za preradu voća, odnosno proizvodnju soka i ostalih gotovih proizvoda od jabuke.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Vrijednost investicijskog projekta iznosi 5.555.555,00 EUR, a iz EAFRD-a se očekuje povrat novčanih sredstava u iznosu 90% vrijednosti investicije, odnosno 5.000.000,00 EUR.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 xml:space="preserve">Naime, sukladno Kriterijima odabira zahtjeva za potporu u Tipu operacije 4.1.1. navedenima u Prilogu III. Pravilnika o provedbi mjere M04 “Ulaganja u fizičku imovinu”, </w:t>
      </w:r>
      <w:proofErr w:type="spellStart"/>
      <w:r w:rsidRPr="00C90371">
        <w:rPr>
          <w:rFonts w:cs="Times New Roman" w:eastAsia="Times New Roman"/>
          <w:color w:val="000000"/>
          <w:lang w:eastAsia="hr-HR"/>
        </w:rPr>
        <w:t>podmjere</w:t>
      </w:r>
      <w:proofErr w:type="spellEnd"/>
      <w:r w:rsidRPr="00C90371">
        <w:rPr>
          <w:rFonts w:cs="Times New Roman" w:eastAsia="Times New Roman"/>
          <w:color w:val="000000"/>
          <w:lang w:eastAsia="hr-HR"/>
        </w:rPr>
        <w:t xml:space="preserve"> 4.1. “Potpora za ulaganja u poljoprivredna gospodarstva” iz Programa Ruralnog razvoja Republike Hrvatske za razdoblje 2014.-2020. godine”,  planirani investicijski projekt je ostvario 75 bodova od maksimalnih 100 bodova, a sukladno članku 10. Pravilnika ima preduvjete ostvarivanja 90% bespovratnih sredstava na temelju sljedećih karakteristika projekta: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 </w:t>
      </w:r>
    </w:p>
    <w:tbl>
      <w:tblPr>
        <w:tblW w:type="dxa" w:w="54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6"/>
        <w:gridCol w:w="1800"/>
        <w:gridCol w:w="1056"/>
      </w:tblGrid>
      <w:tr w:rsidTr="0051252E" w:rsidR="00C90371" w:rsidRPr="00C90371">
        <w:trPr>
          <w:trHeight w:val="252"/>
          <w:jc w:val="center"/>
        </w:trPr>
        <w:tc>
          <w:tcPr>
            <w:tcW w:type="dxa" w:w="261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 xml:space="preserve">minimalan (osnovni)  </w:t>
            </w: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povrat</w:t>
            </w:r>
          </w:p>
        </w:tc>
        <w:tc>
          <w:tcPr>
            <w:tcW w:type="dxa" w:w="180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2.777.778 EUR</w:t>
            </w:r>
          </w:p>
        </w:tc>
        <w:tc>
          <w:tcPr>
            <w:tcW w:type="dxa" w:w="105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50%</w:t>
            </w:r>
          </w:p>
        </w:tc>
      </w:tr>
      <w:tr w:rsidTr="0051252E" w:rsidR="00C90371" w:rsidRPr="00C90371">
        <w:trPr>
          <w:trHeight w:val="252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lastRenderedPageBreak/>
              <w:t>mladi poljoprivrednik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1.111.111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20%</w:t>
            </w:r>
          </w:p>
        </w:tc>
      </w:tr>
      <w:tr w:rsidTr="0051252E" w:rsidR="00C90371" w:rsidRPr="00C90371">
        <w:trPr>
          <w:trHeight w:val="276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zajednički projekt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1.111.111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20%</w:t>
            </w:r>
          </w:p>
        </w:tc>
      </w:tr>
      <w:tr w:rsidTr="0051252E" w:rsidR="00C90371" w:rsidRPr="00C90371">
        <w:trPr>
          <w:trHeight w:val="276"/>
          <w:jc w:val="center"/>
        </w:trPr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Povrat EAFRD - GRANT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5.000.000 EUR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90%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</w:p>
    <w:tbl>
      <w:tblPr>
        <w:tblW w:type="dxa" w:w="54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6"/>
        <w:gridCol w:w="1800"/>
        <w:gridCol w:w="1056"/>
      </w:tblGrid>
      <w:tr w:rsidTr="0051252E" w:rsidR="00C90371" w:rsidRPr="00C90371">
        <w:trPr>
          <w:trHeight w:val="252"/>
          <w:jc w:val="center"/>
        </w:trPr>
        <w:tc>
          <w:tcPr>
            <w:tcW w:type="dxa" w:w="261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Vrijednost investicije</w:t>
            </w:r>
          </w:p>
        </w:tc>
        <w:tc>
          <w:tcPr>
            <w:tcW w:type="dxa" w:w="1800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5.555.556 EUR</w:t>
            </w:r>
          </w:p>
        </w:tc>
        <w:tc>
          <w:tcPr>
            <w:tcW w:type="dxa" w:w="1056"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C90371" w:rsidP="00C90371" w:rsidR="00C90371" w:rsidRPr="00C90371">
            <w:pPr>
              <w:spacing w:lineRule="auto" w:line="360" w:after="0"/>
              <w:jc w:val="both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100%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   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Times New Roman"/>
          <w:color w:val="000000"/>
          <w:lang w:eastAsia="hr-HR"/>
        </w:rPr>
      </w:pPr>
      <w:r w:rsidRPr="00C90371">
        <w:rPr>
          <w:rFonts w:cs="Times New Roman" w:eastAsia="Times New Roman"/>
          <w:color w:val="000000"/>
          <w:lang w:eastAsia="hr-HR"/>
        </w:rPr>
        <w:t>Odluke/novci za Mjeru 4.1.1. na koju smo aplicirali još uvijek nisu nikome dane. Radi se o prvom natječaju u Mjeri 4.1.1. koji je završio 15.04.2015. za koju postoji objavljena lista odobrenih zahtjeva. Naš projekt se nalazi na 72. mjestu.</w:t>
      </w: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58" w:id="40"/>
      <w:bookmarkStart w:name="_Toc432416060" w:id="41"/>
      <w:bookmarkStart w:name="_Toc459304544" w:id="42"/>
      <w:r w:rsidRPr="00C90371">
        <w:rPr>
          <w:rFonts w:cs="Times New Roman" w:eastAsia="Times New Roman"/>
          <w:b/>
          <w:bCs/>
        </w:rPr>
        <w:t xml:space="preserve">6. PLANIRANA BILANCA NA ZADNJI DAN </w:t>
      </w:r>
      <w:bookmarkEnd w:id="40"/>
      <w:bookmarkEnd w:id="41"/>
      <w:r w:rsidRPr="00C90371">
        <w:rPr>
          <w:rFonts w:cs="Times New Roman" w:eastAsia="Times New Roman"/>
          <w:b/>
          <w:bCs/>
        </w:rPr>
        <w:t>RAZDOBLJA ZA KOJE JE SASTAVLJEN PLAN POSLOVANJA</w:t>
      </w:r>
      <w:bookmarkEnd w:id="42"/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Poduzeće će ostvarenjem navedenog Plana operativnog i financijskog restrukturiranja biti dovedeno u stanje stabilnog, održivog i neograničenog poslovanja, sa stanjem obveza kako je prikazano u bilanci na dan 31.12.2018. godine (iznosi u kn), kao zadnjeg dana za koji je sastavljen plan:</w:t>
      </w: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</w:p>
    <w:tbl>
      <w:tblPr>
        <w:tblW w:type="dxa" w:w="9640"/>
        <w:tblInd w:type="dxa" w:w="93"/>
        <w:tblLook w:val="04A0" w:noVBand="1" w:noHBand="0" w:lastColumn="0" w:firstColumn="1" w:lastRow="0" w:firstRow="1"/>
      </w:tblPr>
      <w:tblGrid>
        <w:gridCol w:w="5900"/>
        <w:gridCol w:w="1960"/>
        <w:gridCol w:w="1780"/>
      </w:tblGrid>
      <w:tr w:rsidTr="0051252E" w:rsidR="00C90371" w:rsidRPr="00C90371">
        <w:trPr>
          <w:trHeight w:val="330"/>
        </w:trPr>
        <w:tc>
          <w:tcPr>
            <w:tcW w:type="dxa" w:w="5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OPIS </w:t>
            </w:r>
          </w:p>
        </w:tc>
        <w:tc>
          <w:tcPr>
            <w:tcW w:type="dxa" w:w="19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30.06.2016.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000000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31.12.2018.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 xml:space="preserve">           1.       Obveze prema povezanim poduzetnicima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3.112.001,00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1.556.000,00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531A8F" w:rsidR="00C90371" w:rsidRPr="00C90371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2.       Obveze za zajmove, depozite i slično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159.423,00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79.712,00</w:t>
            </w:r>
          </w:p>
        </w:tc>
      </w:tr>
      <w:tr w:rsidTr="0051252E" w:rsidR="00C90371" w:rsidRPr="00C90371">
        <w:trPr>
          <w:trHeight w:val="645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531A8F" w:rsidR="00C90371" w:rsidRPr="00C90371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3.       Obveze prema bankama i drugim financijskim institucijama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8.174.001,00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4.087.000,00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531A8F" w:rsidR="00C90371" w:rsidRPr="00C90371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4.       Obveze prema dobavljačima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218.729,00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109.365,00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531A8F" w:rsidR="00C90371" w:rsidRPr="00C90371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5.       Obveze prema zaposlenicima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21.130,00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531A8F" w:rsidR="00C90371" w:rsidRPr="00C90371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6.       Ostale kratkoročne obveze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8.104,00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lang w:eastAsia="hr-HR"/>
              </w:rPr>
              <w:t>4.052,00</w:t>
            </w:r>
          </w:p>
        </w:tc>
      </w:tr>
      <w:tr w:rsidTr="0051252E" w:rsidR="00C90371" w:rsidRPr="00C90371">
        <w:trPr>
          <w:trHeight w:val="330"/>
        </w:trPr>
        <w:tc>
          <w:tcPr>
            <w:tcW w:type="dxa" w:w="59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lastRenderedPageBreak/>
              <w:t>UKUPNO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11.693.388,00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5.836.129,00</w:t>
            </w:r>
          </w:p>
        </w:tc>
      </w:tr>
    </w:tbl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contextualSpacing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2416061" w:id="43"/>
      <w:bookmarkStart w:name="_Toc459304545" w:id="44"/>
      <w:r w:rsidRPr="00C90371">
        <w:rPr>
          <w:rFonts w:cs="Times New Roman" w:eastAsia="Times New Roman"/>
          <w:b/>
          <w:bCs/>
        </w:rPr>
        <w:t xml:space="preserve">7. </w:t>
      </w:r>
      <w:bookmarkEnd w:id="43"/>
      <w:r w:rsidRPr="00C90371">
        <w:rPr>
          <w:rFonts w:cs="Times New Roman" w:eastAsia="Times New Roman"/>
          <w:b/>
          <w:bCs/>
        </w:rPr>
        <w:t>ANALIZA SVIH TRAŽBINA PREMA VISINI I VRSTI (TRAŽBINE RADNIKA I PRIJAŠNJIH DUŽNIKOVIH RADNIKA, IZLUČNA PRAVA, RAZLUČNA PRAVA, TRAŽBINE ZA KOJE SE VODI POSTUPAK, NEOSIGURANE TRAŽBINE I DRUGE TRAŽBINE)</w:t>
      </w:r>
      <w:bookmarkEnd w:id="44"/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I)   Ova </w:t>
      </w:r>
      <w:proofErr w:type="spellStart"/>
      <w:r w:rsidRPr="00C90371">
        <w:rPr>
          <w:rFonts w:cs="Times New Roman" w:eastAsia="Calibri"/>
        </w:rPr>
        <w:t>predstečajna</w:t>
      </w:r>
      <w:proofErr w:type="spellEnd"/>
      <w:r w:rsidRPr="00C90371">
        <w:rPr>
          <w:rFonts w:cs="Times New Roman" w:eastAsia="Calibri"/>
        </w:rPr>
        <w:t xml:space="preserve"> nagodba planira se sklopiti između dužnika  VOĆNJAK d.o.o. (u daljnjem testu: dužnik)  i vjerovnika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 (u daljnjem tekstu vjerovnici) sa utvrđenim tražbinama kako slijedi:</w:t>
      </w:r>
    </w:p>
    <w:tbl>
      <w:tblPr>
        <w:tblW w:type="dxa" w:w="9352"/>
        <w:tblInd w:type="dxa" w:w="93"/>
        <w:tblLook w:val="04A0" w:noVBand="1" w:noHBand="0" w:lastColumn="0" w:firstColumn="1" w:lastRow="0" w:firstRow="1"/>
      </w:tblPr>
      <w:tblGrid>
        <w:gridCol w:w="657"/>
        <w:gridCol w:w="3118"/>
        <w:gridCol w:w="1426"/>
        <w:gridCol w:w="1723"/>
        <w:gridCol w:w="1498"/>
        <w:gridCol w:w="1295"/>
      </w:tblGrid>
      <w:tr w:rsidTr="0051252E" w:rsidR="00C90371" w:rsidRPr="00C90371">
        <w:trPr>
          <w:trHeight w:val="30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RBR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OIB</w:t>
            </w:r>
          </w:p>
        </w:tc>
        <w:tc>
          <w:tcPr>
            <w:tcW w:type="dxa" w:w="1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ADRESA</w:t>
            </w:r>
          </w:p>
        </w:tc>
        <w:tc>
          <w:tcPr>
            <w:tcW w:type="dxa" w:w="1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IZNOS</w:t>
            </w:r>
          </w:p>
        </w:tc>
        <w:tc>
          <w:tcPr>
            <w:tcW w:type="dxa" w:w="11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STRUKTURA (%)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AGRARIA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46454798005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Čakovec,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Globetka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5.603,70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0,05%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26187994862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Miramarska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cesta 22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2.840,91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0,02%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3.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23057039320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290,52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23057039320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4.316.827,41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36,67%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5.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22694857747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Zagreb, Ulica grada Vukovara 282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461,30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6.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FINA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85821130368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Zagreb, Ulica grada Vukovara 70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125,00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7.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FINDRI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17770850990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Sesvete, Zagrebačka 76/a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6.875,74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0,06%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8.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FITO PROMET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68339203084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Mošćenička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15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29.175,00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0,25%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9.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56077015541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361,20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10.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HARD-JURA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60204973674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Bjelovar, Josipa Jelačića 11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229,19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11.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Hrvatska banka za obnovu i razvitak - HBOR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26702280390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Zagreb, Trg Josipa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Jurja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Strossmayera 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3.948.174,01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33,53%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12.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JAVNI BILJEŽNIK MARIJA KUSTIĆ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26027300253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Bjelovar, Dr. Ante Starčevića 5b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1.012,50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0,01%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13.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KALIDA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45575064321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Bjelovar,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Letičani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25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106,45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14.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KUDEC, VOĆARSTVO I PROTUGRADNE MREŽE, IVAN KUDEC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82558732904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Hodošan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, PALIH BORACA 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130,00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15.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17576035505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40.032,95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0,34%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16.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MATOŠ VULKANIZER, Obrt za usluge i trgovinu,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vl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. Tadija Matoš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63640210499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, Gorjani 302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5.332,84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0,05%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17.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MGN-Metalna galanterija Novak,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97087294364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Varaždin, Eugena Kumičića 74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200,00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18.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MINUS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19911375985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Vukovar, Trpinjska cesta 319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11.537,75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0,10%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19.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PA-VIN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59920925649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Jastrebarsko, Većeslava Holjevca 20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19.737,96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0,17%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20.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PBZ CARD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28495895537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Zagreb, Radnička cesta 44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19.737,96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0,17%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21.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POLJOCENTAR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49929727453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Križevci, Obrtnička 12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105.743,19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0,90%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22.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RATARSTVO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39141474711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Matice Hrvatske </w:t>
            </w: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lastRenderedPageBreak/>
              <w:t>4/I, BJELOVAR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lastRenderedPageBreak/>
              <w:t>70.343,81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0,60%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lastRenderedPageBreak/>
              <w:t>23.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SERVISIRANJE I POPRAVAK PROTUPOŽARNE OPREME I TRGOVAČKI OBRT " KRISTOVIĆ " VL. DAMIR KRISTOVIĆ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09376850203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, A. STARČEVIĆA 13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28.049,00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0,24%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24.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Snježana Mirić Philips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58305904729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Vinkovci, Antuna Starčevića 19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1.657,38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0,01%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25.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VRT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68416812428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290.541,00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2,47%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26.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VRT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68416812428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2.469.298,14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20,97%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27.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VRTINVEST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22535621645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399.189,77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3,39%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28.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WDF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79263523642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Globočec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Ludbreški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Ludbreška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 xml:space="preserve"> 116 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0"/>
                <w:lang w:eastAsia="hr-HR"/>
              </w:rPr>
              <w:t>45,00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0,00%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 </w:t>
            </w:r>
          </w:p>
        </w:tc>
        <w:tc>
          <w:tcPr>
            <w:tcW w:type="dxa" w:w="1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 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11.773.659,68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 w:hAnsi="Calibri" w:ascii="Calibri"/>
                <w:color w:val="000000"/>
                <w:szCs w:val="20"/>
                <w:lang w:eastAsia="hr-HR"/>
              </w:rPr>
            </w:pPr>
            <w:r w:rsidRPr="00C90371">
              <w:rPr>
                <w:rFonts w:cs="Times New Roman" w:eastAsia="Times New Roman" w:hAnsi="Calibri" w:ascii="Calibri"/>
                <w:color w:val="000000"/>
                <w:sz w:val="22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UVJETNE TRAŽBINE:</w:t>
      </w:r>
    </w:p>
    <w:tbl>
      <w:tblPr>
        <w:tblW w:type="dxa" w:w="9230"/>
        <w:tblInd w:type="dxa" w:w="93"/>
        <w:tblLook w:val="04A0" w:noVBand="1" w:noHBand="0" w:lastColumn="0" w:firstColumn="1" w:lastRow="0" w:firstRow="1"/>
      </w:tblPr>
      <w:tblGrid>
        <w:gridCol w:w="657"/>
        <w:gridCol w:w="2730"/>
        <w:gridCol w:w="1426"/>
        <w:gridCol w:w="3006"/>
        <w:gridCol w:w="1481"/>
      </w:tblGrid>
      <w:tr w:rsidTr="0051252E" w:rsidR="00C90371" w:rsidRPr="00C90371">
        <w:trPr>
          <w:trHeight w:val="300"/>
        </w:trPr>
        <w:tc>
          <w:tcPr>
            <w:tcW w:type="dxa" w:w="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27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0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BOŽIDAR GORUP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79929650435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Tomaševec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2, Klanjec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3.948.174,01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DAMIR GORUP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83200409230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Tomaševec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2, Klanjec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3.948.174,01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GORUP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59013770221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Tomaševec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2, Klanjec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3.948.174,01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GORUP STOČARSTVO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97328499380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Tomaševec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2, Klanjec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3.948.174,01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Josip Belošević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88477086610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Krste Frankopana 70, </w:t>
            </w: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BJELOVAR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4.316.827,41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6.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RATARSTVO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39141474711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68416812428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Bjelovar, Matice Hrvatske 4/I 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8.265.001,42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VRTINVEST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22535621645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ZDRAVKO LENARD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78550564480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 Vidovčica  22, Zagreb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3.948.174,01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0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40.956.353,70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II) Sklapanjem ove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nagodbe, dužnik će se obavezati na ispunjenje prioritetnih tražbina radnika.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 III) Za vjerovnike iz točke I. ovog nacrta, a sukladno Utvrđenim tražbinama, plana financijskog i operativnog restrukturiranja, otplata utvrđenih iznosa tražbina će se vršiti na slijedeći način kako slijedi: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  <w:sectPr w:rsidSect="00F63017" w:rsidR="00C90371" w:rsidRPr="00C90371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 w:after="200"/>
        <w:ind w:right="-64" w:left="-46"/>
        <w:jc w:val="both"/>
        <w:rPr>
          <w:rFonts w:cs="Times New Roman" w:eastAsia="Calibri"/>
          <w:i/>
        </w:rPr>
      </w:pPr>
      <w:r w:rsidRPr="00C90371">
        <w:rPr>
          <w:rFonts w:cs="Times New Roman" w:eastAsia="Calibri"/>
          <w:b/>
          <w:i/>
          <w:u w:val="single"/>
        </w:rPr>
        <w:t xml:space="preserve">Za prvu grupu vjerovnika: 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Dug prema Javnoj upravi i trgovačkim društvima u većinskom vlasništvu RH na dan 30.06.2016. godine iznosi </w:t>
      </w:r>
      <w:r w:rsidRPr="00C90371">
        <w:rPr>
          <w:rFonts w:cs="Times New Roman" w:eastAsia="Times New Roman"/>
          <w:color w:val="000000"/>
          <w:lang w:eastAsia="hr-HR"/>
        </w:rPr>
        <w:t>125,00</w:t>
      </w:r>
      <w:r w:rsidRPr="00C90371">
        <w:rPr>
          <w:rFonts w:cs="Times New Roman" w:eastAsia="Calibri"/>
        </w:rPr>
        <w:t xml:space="preserve"> kn. Kod Ministarstva financija i drugih tijela javne uprave i trgovačkih društava u većinskom državnom vlasništvu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sudom. Prioritetne tražbine prema državi će se izuzeti iz nagodbe i one će se prioritetno podmiriti.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tbl>
      <w:tblPr>
        <w:tblW w:type="dxa" w:w="14113"/>
        <w:tblInd w:type="dxa" w:w="93"/>
        <w:tblLook w:val="04A0" w:noVBand="1" w:noHBand="0" w:lastColumn="0" w:firstColumn="1" w:lastRow="0" w:firstRow="1"/>
      </w:tblPr>
      <w:tblGrid>
        <w:gridCol w:w="757"/>
        <w:gridCol w:w="1855"/>
        <w:gridCol w:w="1643"/>
        <w:gridCol w:w="2703"/>
        <w:gridCol w:w="995"/>
        <w:gridCol w:w="1031"/>
        <w:gridCol w:w="1785"/>
        <w:gridCol w:w="1785"/>
        <w:gridCol w:w="1559"/>
      </w:tblGrid>
      <w:tr w:rsidTr="0051252E" w:rsidR="00C90371" w:rsidRPr="00C90371">
        <w:trPr>
          <w:trHeight w:val="297"/>
        </w:trPr>
        <w:tc>
          <w:tcPr>
            <w:tcW w:type="dxa" w:w="7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9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IZNOS</w:t>
            </w:r>
          </w:p>
        </w:tc>
        <w:tc>
          <w:tcPr>
            <w:tcW w:type="dxa" w:w="10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OTPIS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OTPISANA VRIJEDNOST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VRIJEDNOST OTPLATE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C90371">
              <w:rPr>
                <w:rFonts w:cs="Times New Roman" w:eastAsia="Times New Roman"/>
                <w:sz w:val="22"/>
                <w:szCs w:val="22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297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FINA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2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Zagreb, Ulica grada Vukovara 70 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125,00</w:t>
            </w:r>
          </w:p>
        </w:tc>
        <w:tc>
          <w:tcPr>
            <w:tcW w:type="dxa" w:w="1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70,00%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87,50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0,63</w:t>
            </w:r>
          </w:p>
        </w:tc>
      </w:tr>
      <w:tr w:rsidTr="0051252E" w:rsidR="00C90371" w:rsidRPr="00C90371">
        <w:trPr>
          <w:trHeight w:val="297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125,00</w:t>
            </w:r>
          </w:p>
        </w:tc>
        <w:tc>
          <w:tcPr>
            <w:tcW w:type="dxa" w:w="10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>Za drugu grupu vjerovnika: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Dug prema financijskim institucijama na dan 30.06.2016.. godine iznosi </w:t>
      </w:r>
      <w:r w:rsidRPr="00C90371">
        <w:rPr>
          <w:rFonts w:cs="Times New Roman" w:eastAsia="Times New Roman"/>
          <w:color w:val="000000"/>
          <w:lang w:eastAsia="hr-HR"/>
        </w:rPr>
        <w:t xml:space="preserve">8.288.332,11 </w:t>
      </w:r>
      <w:r w:rsidRPr="00C90371">
        <w:rPr>
          <w:rFonts w:cs="Times New Roman" w:eastAsia="Calibri"/>
        </w:rPr>
        <w:t xml:space="preserve">kn.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sudom. </w:t>
      </w:r>
    </w:p>
    <w:tbl>
      <w:tblPr>
        <w:tblW w:type="dxa" w:w="14250"/>
        <w:tblInd w:type="dxa" w:w="93"/>
        <w:tblLook w:val="04A0" w:noVBand="1" w:noHBand="0" w:lastColumn="0" w:firstColumn="1" w:lastRow="0" w:firstRow="1"/>
      </w:tblPr>
      <w:tblGrid>
        <w:gridCol w:w="657"/>
        <w:gridCol w:w="3231"/>
        <w:gridCol w:w="1426"/>
        <w:gridCol w:w="2154"/>
        <w:gridCol w:w="1371"/>
        <w:gridCol w:w="960"/>
        <w:gridCol w:w="1549"/>
        <w:gridCol w:w="1549"/>
        <w:gridCol w:w="1353"/>
      </w:tblGrid>
      <w:tr w:rsidTr="0051252E" w:rsidR="00C90371" w:rsidRPr="00C90371">
        <w:trPr>
          <w:trHeight w:val="30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Miramarska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cesta 22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2.840,91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1.988,64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852,27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14,20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290,52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203,36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87,16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1,45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Rijeka, Jadranski trg 3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4.316.827,41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3.021.779,19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1.295.048,22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21.584,14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Zagreb, Ulica grada Vukovara 282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461,30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322,91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138,39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2,31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Hrvatska banka za obnovu i razvitak - HBOR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Trg Josipa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Jurja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Strossmayera 9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3.948.174,01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2.763.721,81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1.184.452,20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19.740,87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PBZ CARD d.o.o.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Radnička cesta 44 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19.737,96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13.816,57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5.921,39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98,69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8.288.332,11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/>
        </w:rPr>
      </w:pPr>
    </w:p>
    <w:p w:rsidRDefault="00C90371" w:rsidP="00C90371" w:rsidR="00C90371" w:rsidRPr="00C90371">
      <w:pPr>
        <w:widowControl w:val="false"/>
        <w:numPr>
          <w:ilvl w:val="0"/>
          <w:numId w:val="45"/>
        </w:numPr>
        <w:autoSpaceDE w:val="false"/>
        <w:autoSpaceDN w:val="false"/>
        <w:spacing w:lineRule="auto" w:line="360" w:after="0" w:before="240"/>
        <w:ind w:hanging="357" w:left="357"/>
        <w:jc w:val="both"/>
        <w:rPr>
          <w:rFonts w:cs="Times New Roman" w:eastAsia="Times New Roman"/>
          <w:u w:val="single"/>
          <w:lang w:eastAsia="hr-HR" w:val="en-US"/>
        </w:rPr>
      </w:pP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za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razlučne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vjerovnike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s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pravom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odvojenog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namirenja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>: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promjena dospijeća tražbina - </w:t>
      </w:r>
      <w:proofErr w:type="spellStart"/>
      <w:r w:rsidRPr="00C90371">
        <w:rPr>
          <w:rFonts w:cs="Times New Roman" w:eastAsia="Calibri"/>
        </w:rPr>
        <w:t>reprogram</w:t>
      </w:r>
      <w:proofErr w:type="spellEnd"/>
      <w:r w:rsidRPr="00C90371">
        <w:rPr>
          <w:rFonts w:cs="Times New Roman" w:eastAsia="Calibri"/>
        </w:rPr>
        <w:t xml:space="preserve"> kreditnih obveza </w:t>
      </w:r>
      <w:proofErr w:type="spellStart"/>
      <w:r w:rsidRPr="00C90371">
        <w:rPr>
          <w:rFonts w:cs="Times New Roman" w:eastAsia="Calibri"/>
        </w:rPr>
        <w:t>razlučnih</w:t>
      </w:r>
      <w:proofErr w:type="spellEnd"/>
      <w:r w:rsidRPr="00C90371">
        <w:rPr>
          <w:rFonts w:cs="Times New Roman" w:eastAsia="Calibri"/>
        </w:rPr>
        <w:t xml:space="preserve"> vjerovnika s pravom odvojenoga namirenja na dulji rok i uz smanjenje visine trenutnih troškova financiranja (uz zadržavanje postojećih instrumenata osiguranja i zaštitnih mehanizama u vidu postojećih valutnih klauzula), na sljedeći način: </w:t>
      </w:r>
    </w:p>
    <w:p w:rsidRDefault="00C90371" w:rsidP="00C90371" w:rsidR="00C90371" w:rsidRPr="00C90371">
      <w:pPr>
        <w:numPr>
          <w:ilvl w:val="0"/>
          <w:numId w:val="47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</w:p>
    <w:p w:rsidRDefault="00C90371" w:rsidP="00C90371" w:rsidR="00C90371" w:rsidRPr="00C90371">
      <w:pPr>
        <w:spacing w:lineRule="auto" w:line="360" w:after="200"/>
        <w:ind w:left="7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ili 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odvojeno namirenje tražbina imovinom na kojoj je upisano </w:t>
      </w:r>
      <w:proofErr w:type="spellStart"/>
      <w:r w:rsidRPr="00C90371">
        <w:rPr>
          <w:rFonts w:cs="Times New Roman" w:eastAsia="Calibri"/>
        </w:rPr>
        <w:t>razlučno</w:t>
      </w:r>
      <w:proofErr w:type="spellEnd"/>
      <w:r w:rsidRPr="00C90371">
        <w:rPr>
          <w:rFonts w:cs="Times New Roman" w:eastAsia="Calibri"/>
        </w:rPr>
        <w:t xml:space="preserve"> pravo.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 xml:space="preserve">ERSTE&amp;STEIERMÄRKISCHE BANK d. d., OIB: 23057039320, Jadranski Trg 3/a, Rijeka u iznosu od 570.000,00 EUR na nekretnini broj </w:t>
      </w:r>
      <w:proofErr w:type="spellStart"/>
      <w:r w:rsidRPr="00C90371">
        <w:rPr>
          <w:rFonts w:cs="Times New Roman" w:eastAsia="Calibri"/>
        </w:rPr>
        <w:t>zk.ul</w:t>
      </w:r>
      <w:proofErr w:type="spellEnd"/>
      <w:r w:rsidRPr="00C90371">
        <w:rPr>
          <w:rFonts w:cs="Times New Roman" w:eastAsia="Calibri"/>
        </w:rPr>
        <w:t xml:space="preserve">. 4071, zemljišno knjižni odjel Vinkovci, k.o. </w:t>
      </w:r>
      <w:proofErr w:type="spellStart"/>
      <w:r w:rsidRPr="00C90371">
        <w:rPr>
          <w:rFonts w:cs="Times New Roman" w:eastAsia="Calibri"/>
        </w:rPr>
        <w:t>Ivankovo</w:t>
      </w:r>
      <w:proofErr w:type="spellEnd"/>
      <w:r w:rsidRPr="00C90371">
        <w:rPr>
          <w:rFonts w:cs="Times New Roman" w:eastAsia="Calibri"/>
        </w:rPr>
        <w:t>, br. kat. čestice: 1553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 xml:space="preserve">Za treću grupu vjerovnika: </w:t>
      </w:r>
    </w:p>
    <w:p w:rsidRDefault="00C90371" w:rsidP="00C90371" w:rsidR="00C90371" w:rsidRPr="00C90371">
      <w:pPr>
        <w:spacing w:lineRule="auto" w:line="360" w:after="200"/>
        <w:rPr>
          <w:rFonts w:cs="Times New Roman" w:eastAsia="Calibri"/>
          <w:b/>
          <w:i/>
          <w:u w:val="single"/>
        </w:rPr>
      </w:pPr>
      <w:r w:rsidRPr="00C90371">
        <w:rPr>
          <w:rFonts w:cs="Times New Roman" w:eastAsia="Calibri"/>
          <w:b/>
          <w:i/>
          <w:u w:val="single"/>
        </w:rPr>
        <w:t>1.  Obveze prema dobavljačima i ostalim vjerovnicima</w:t>
      </w:r>
      <w:r w:rsidRPr="00C90371">
        <w:rPr>
          <w:rFonts w:cs="Times New Roman" w:eastAsia="Calibri"/>
          <w:i/>
        </w:rPr>
        <w:t xml:space="preserve"> : 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  <w:r w:rsidRPr="00C90371">
        <w:rPr>
          <w:rFonts w:cs="Times New Roman" w:eastAsia="SimSun"/>
          <w:kern w:val="3"/>
          <w:lang w:eastAsia="hr-HR"/>
        </w:rPr>
        <w:t xml:space="preserve">Dug prema dobavljačima i ostalim vjerovnicima na dan 30.06.2016. godine iznosi 3.485.202,57 </w:t>
      </w:r>
      <w:r w:rsidRPr="00C90371">
        <w:rPr>
          <w:rFonts w:cs="Times New Roman" w:eastAsia="SimSun"/>
          <w:color w:val="000000"/>
          <w:kern w:val="3"/>
          <w:lang w:eastAsia="hr-HR"/>
        </w:rPr>
        <w:t>kn</w:t>
      </w:r>
      <w:r w:rsidRPr="00C90371">
        <w:rPr>
          <w:rFonts w:cs="Times New Roman" w:eastAsia="SimSun"/>
          <w:kern w:val="3"/>
          <w:lang w:eastAsia="hr-HR"/>
        </w:rPr>
        <w:t xml:space="preserve">.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 w:rsidRPr="00C90371">
        <w:rPr>
          <w:rFonts w:cs="Times New Roman" w:eastAsia="SimSun"/>
          <w:kern w:val="3"/>
          <w:lang w:eastAsia="hr-HR"/>
        </w:rPr>
        <w:t>predstečajnoj</w:t>
      </w:r>
      <w:proofErr w:type="spellEnd"/>
      <w:r w:rsidRPr="00C90371">
        <w:rPr>
          <w:rFonts w:cs="Times New Roman" w:eastAsia="SimSun"/>
          <w:kern w:val="3"/>
          <w:lang w:eastAsia="hr-HR"/>
        </w:rPr>
        <w:t xml:space="preserve"> nagodbi pred Trgovačkim sudom.</w:t>
      </w:r>
    </w:p>
    <w:tbl>
      <w:tblPr>
        <w:tblW w:type="dxa" w:w="14336"/>
        <w:tblInd w:type="dxa" w:w="93"/>
        <w:tblLook w:val="04A0" w:noVBand="1" w:noHBand="0" w:lastColumn="0" w:firstColumn="1" w:lastRow="0" w:firstRow="1"/>
      </w:tblPr>
      <w:tblGrid>
        <w:gridCol w:w="660"/>
        <w:gridCol w:w="3402"/>
        <w:gridCol w:w="1316"/>
        <w:gridCol w:w="2835"/>
        <w:gridCol w:w="1116"/>
        <w:gridCol w:w="960"/>
        <w:gridCol w:w="1428"/>
        <w:gridCol w:w="1428"/>
        <w:gridCol w:w="1250"/>
      </w:tblGrid>
      <w:tr w:rsidTr="0051252E" w:rsidR="00C90371" w:rsidRPr="00C90371">
        <w:trPr>
          <w:trHeight w:val="300"/>
        </w:trPr>
        <w:tc>
          <w:tcPr>
            <w:tcW w:type="dxa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1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AGRARIA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46454798005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Čakovec,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Globetka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5.603,70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3.922,59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1.681,11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28,02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FINDRI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17770850990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Sesvete, Zagrebačka 76/a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6.875,74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4.813,02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2.062,72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34,38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FITO PROMET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68339203084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Mošćenička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15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29.175,00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20.422,50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8.752,50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145,88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HARD-JURA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60204973674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Josipa Jelačića 11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229,19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160,43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68,76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1,15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JAVNI BILJEŽNIK MARIJA KUSTIĆ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26027300253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Bjelovar, Dr. Ante Starčevića 5b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1.012,50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708,75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303,75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5,06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KALIDA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45575064321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Letičani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25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106,45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74,52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31,94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0,53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KUDEC, VOĆARSTVO I PROTUGRADNE MREŽE, IVAN KUDEC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82558732904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Hodošan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PALIH BORACA 1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91,00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0,65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MATOŠ VULKANIZER, Obrt za usluge i trgovinu,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. Tadija Matoš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63640210499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Gorjani 302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5.332,84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3.732,99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1.599,85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26,66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MGN-Metalna galanterija Novak,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97087294364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Varaždin, Eugena Kumičića 74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140,00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60,00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1,00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MINUS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19911375985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Vukovar, Trpinjska cesta 319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11.537,75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8.076,43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3.461,33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57,69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PA-VIN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59920925649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Jastrebarsko, Većeslava Holjevca 20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19.737,96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13.816,57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5.921,39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98,69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POLJOCENTAR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49929727453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Križevci, Obrtnička 12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105.743,19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74.020,23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31.722,96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528,72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SERVISIRANJE I POPRAVAK PROTUPOŽARNE OPREME I TRGOVAČKI OBRT " KRISTOVIĆ " VL. DAMIR KRISTOVIĆ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09376850203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Ivankovo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A. STARČEVIĆA 13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28.049,00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19.634,30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8.414,70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140,25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290.541,00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203.378,70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87.162,30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1.452,71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WDF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79263523642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Globočec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Ludbreški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Ludbreška</w:t>
            </w:r>
            <w:proofErr w:type="spellEnd"/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116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31,50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13,50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0,23</w:t>
            </w:r>
          </w:p>
        </w:tc>
      </w:tr>
      <w:tr w:rsidTr="0051252E" w:rsidR="00C90371" w:rsidRPr="00C90371">
        <w:trPr>
          <w:trHeight w:val="300"/>
        </w:trPr>
        <w:tc>
          <w:tcPr>
            <w:tcW w:type="dxa" w:w="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504.319,32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b/>
          <w:i/>
          <w:kern w:val="3"/>
          <w:u w:val="single"/>
          <w:lang w:eastAsia="hr-HR"/>
        </w:rPr>
      </w:pPr>
      <w:r w:rsidRPr="00C90371">
        <w:rPr>
          <w:rFonts w:cs="Times New Roman" w:eastAsia="SimSun"/>
          <w:b/>
          <w:i/>
          <w:kern w:val="3"/>
          <w:u w:val="single"/>
          <w:lang w:eastAsia="hr-HR"/>
        </w:rPr>
        <w:t>2.Obveze po pozajmicama:</w:t>
      </w: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  <w:r w:rsidRPr="00C90371">
        <w:rPr>
          <w:rFonts w:cs="Times New Roman" w:eastAsia="Calibri"/>
        </w:rPr>
        <w:lastRenderedPageBreak/>
        <w:t xml:space="preserve">Kod obveza po pozajmicama isplata duga: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  <w:r w:rsidRPr="00C90371">
        <w:rPr>
          <w:rFonts w:cs="Times New Roman" w:eastAsia="Calibri" w:hAnsi="Calibri" w:ascii="Calibri"/>
          <w:sz w:val="22"/>
          <w:szCs w:val="22"/>
        </w:rPr>
        <w:t>.</w:t>
      </w:r>
    </w:p>
    <w:tbl>
      <w:tblPr>
        <w:tblW w:type="dxa" w:w="13981"/>
        <w:tblInd w:type="dxa" w:w="93"/>
        <w:tblLook w:val="04A0" w:noVBand="1" w:noHBand="0" w:lastColumn="0" w:firstColumn="1" w:lastRow="0" w:firstRow="1"/>
      </w:tblPr>
      <w:tblGrid>
        <w:gridCol w:w="643"/>
        <w:gridCol w:w="2122"/>
        <w:gridCol w:w="1372"/>
        <w:gridCol w:w="3242"/>
        <w:gridCol w:w="1320"/>
        <w:gridCol w:w="1001"/>
        <w:gridCol w:w="1489"/>
        <w:gridCol w:w="1489"/>
        <w:gridCol w:w="1303"/>
      </w:tblGrid>
      <w:tr w:rsidTr="0051252E" w:rsidR="00C90371" w:rsidRPr="00C90371">
        <w:trPr>
          <w:trHeight w:val="299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2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4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56077015541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361,20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252,84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108,36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1,81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17576035505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40.032,95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28.023,07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12.009,89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200,16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RATARSTVO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39141474711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70.343,81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49.240,67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21.103,14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351,72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Snježana Mirić Philips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58305904729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Vinkovci, Antuna Starčevića 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1.657,38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1.160,17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497,21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8,29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Bjelovar, Matice Hrvatske 4/I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2.469.298,14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1.728.508,70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740.789,44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12.346,49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VRTINVEST d.o.o.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22535621645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399.189,77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70,00%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279.432,84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119.756,93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1.995,95</w:t>
            </w:r>
          </w:p>
        </w:tc>
      </w:tr>
      <w:tr w:rsidTr="0051252E" w:rsidR="00C90371" w:rsidRPr="00C90371">
        <w:trPr>
          <w:trHeight w:val="299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2.980.883,25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spacing w:lineRule="auto" w:line="360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C90371" w:rsidP="00C90371" w:rsidR="00C90371" w:rsidRPr="00C90371">
      <w:pPr>
        <w:widowControl w:val="false"/>
        <w:numPr>
          <w:ilvl w:val="0"/>
          <w:numId w:val="45"/>
        </w:numPr>
        <w:autoSpaceDE w:val="false"/>
        <w:autoSpaceDN w:val="false"/>
        <w:spacing w:lineRule="auto" w:line="360" w:after="0" w:before="240"/>
        <w:ind w:hanging="357" w:left="357"/>
        <w:jc w:val="both"/>
        <w:rPr>
          <w:rFonts w:cs="Times New Roman" w:eastAsia="Times New Roman"/>
          <w:u w:val="single"/>
          <w:lang w:eastAsia="hr-HR" w:val="en-US"/>
        </w:rPr>
      </w:pP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za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razlučne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vjerovnike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s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pravom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odvojenog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C90371">
        <w:rPr>
          <w:rFonts w:cs="Times New Roman" w:eastAsia="Times New Roman"/>
          <w:u w:val="single"/>
          <w:lang w:eastAsia="hr-HR" w:val="en-US"/>
        </w:rPr>
        <w:t>namirenja</w:t>
      </w:r>
      <w:proofErr w:type="spellEnd"/>
      <w:r w:rsidRPr="00C90371">
        <w:rPr>
          <w:rFonts w:cs="Times New Roman" w:eastAsia="Times New Roman"/>
          <w:u w:val="single"/>
          <w:lang w:eastAsia="hr-HR" w:val="en-US"/>
        </w:rPr>
        <w:t>: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lastRenderedPageBreak/>
        <w:t xml:space="preserve">promjena dospijeća tražbina - </w:t>
      </w:r>
      <w:proofErr w:type="spellStart"/>
      <w:r w:rsidRPr="00C90371">
        <w:rPr>
          <w:rFonts w:cs="Times New Roman" w:eastAsia="Calibri"/>
        </w:rPr>
        <w:t>reprogram</w:t>
      </w:r>
      <w:proofErr w:type="spellEnd"/>
      <w:r w:rsidRPr="00C90371">
        <w:rPr>
          <w:rFonts w:cs="Times New Roman" w:eastAsia="Calibri"/>
        </w:rPr>
        <w:t xml:space="preserve"> kreditnih obveza </w:t>
      </w:r>
      <w:proofErr w:type="spellStart"/>
      <w:r w:rsidRPr="00C90371">
        <w:rPr>
          <w:rFonts w:cs="Times New Roman" w:eastAsia="Calibri"/>
        </w:rPr>
        <w:t>razlučnih</w:t>
      </w:r>
      <w:proofErr w:type="spellEnd"/>
      <w:r w:rsidRPr="00C90371">
        <w:rPr>
          <w:rFonts w:cs="Times New Roman" w:eastAsia="Calibri"/>
        </w:rPr>
        <w:t xml:space="preserve"> vjerovnika s pravom odvojenoga namirenja na dulji rok i uz smanjenje visine trenutnih troškova financiranja (uz zadržavanje postojećih instrumenata osiguranja i zaštitnih mehanizama u vidu postojećih valutnih klauzula), na sljedeći način: </w:t>
      </w:r>
    </w:p>
    <w:p w:rsidRDefault="00C90371" w:rsidP="00C90371" w:rsidR="00C90371" w:rsidRPr="00C90371">
      <w:pPr>
        <w:numPr>
          <w:ilvl w:val="0"/>
          <w:numId w:val="47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 w:rsidRPr="00C90371">
        <w:rPr>
          <w:rFonts w:cs="Times New Roman" w:eastAsia="Calibri"/>
        </w:rPr>
        <w:t>predstečajnoj</w:t>
      </w:r>
      <w:proofErr w:type="spellEnd"/>
      <w:r w:rsidRPr="00C90371">
        <w:rPr>
          <w:rFonts w:cs="Times New Roman" w:eastAsia="Calibri"/>
        </w:rPr>
        <w:t xml:space="preserve"> nagodbi pred Trgovačkim sudom</w:t>
      </w:r>
    </w:p>
    <w:p w:rsidRDefault="00C90371" w:rsidP="00C90371" w:rsidR="00C90371" w:rsidRPr="00C90371">
      <w:pPr>
        <w:spacing w:lineRule="auto" w:line="360" w:after="200"/>
        <w:ind w:left="7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ili </w:t>
      </w:r>
    </w:p>
    <w:p w:rsidRDefault="00C90371" w:rsidP="00C90371" w:rsidR="00C90371" w:rsidRPr="00C90371">
      <w:pPr>
        <w:numPr>
          <w:ilvl w:val="0"/>
          <w:numId w:val="46"/>
        </w:numPr>
        <w:spacing w:lineRule="auto" w:line="360" w:after="200"/>
        <w:contextualSpacing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odvojeno namirenje tražbina imovinom na kojoj je upisano </w:t>
      </w:r>
      <w:proofErr w:type="spellStart"/>
      <w:r w:rsidRPr="00C90371">
        <w:rPr>
          <w:rFonts w:cs="Times New Roman" w:eastAsia="Calibri"/>
        </w:rPr>
        <w:t>razlučno</w:t>
      </w:r>
      <w:proofErr w:type="spellEnd"/>
      <w:r w:rsidRPr="00C90371">
        <w:rPr>
          <w:rFonts w:cs="Times New Roman" w:eastAsia="Calibri"/>
        </w:rPr>
        <w:t xml:space="preserve"> pravo.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spacing w:lineRule="auto" w:line="276" w:after="20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AGROFRUCTUS d.o.o., OIB: 07350499058, Industrijska zona Janjevci 6, Donji Miholjac u iznosu od 3.726.412,21 kn s kamatama od 7,5% godišnje na nekretnini broj </w:t>
      </w:r>
      <w:proofErr w:type="spellStart"/>
      <w:r w:rsidRPr="00C90371">
        <w:rPr>
          <w:rFonts w:cs="Times New Roman" w:eastAsia="Calibri"/>
        </w:rPr>
        <w:t>zk.ul</w:t>
      </w:r>
      <w:proofErr w:type="spellEnd"/>
      <w:r w:rsidRPr="00C90371">
        <w:rPr>
          <w:rFonts w:cs="Times New Roman" w:eastAsia="Calibri"/>
        </w:rPr>
        <w:t xml:space="preserve">. 4071, zemljišno knjižni odjel Vinkovci, k.o. </w:t>
      </w:r>
      <w:proofErr w:type="spellStart"/>
      <w:r w:rsidRPr="00C90371">
        <w:rPr>
          <w:rFonts w:cs="Times New Roman" w:eastAsia="Calibri"/>
        </w:rPr>
        <w:t>Ivankovo</w:t>
      </w:r>
      <w:proofErr w:type="spellEnd"/>
      <w:r w:rsidRPr="00C90371">
        <w:rPr>
          <w:rFonts w:cs="Times New Roman" w:eastAsia="Calibri"/>
        </w:rPr>
        <w:t>, br. kat. čestice: 1553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  <w:r w:rsidRPr="00C90371">
        <w:rPr>
          <w:rFonts w:cs="Times New Roman" w:eastAsia="SimSun"/>
          <w:kern w:val="3"/>
          <w:lang w:eastAsia="hr-HR"/>
        </w:rPr>
        <w:t>Solidarni dužnici, jamci, osobe s pravom regresa u slučaju regresne obveze preuzimaju uvjete namirenja identične uvjetima namirenja prema pojedinačnom vjerovniku za koje su solidarni dužnici, jamci ili imaju regresno pravo.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0"/>
        <w:ind w:firstLine="0" w:left="0"/>
        <w:rPr>
          <w:rFonts w:cs="Times New Roman" w:eastAsia="SimSun"/>
          <w:kern w:val="3"/>
          <w:lang w:eastAsia="hr-HR"/>
        </w:rPr>
      </w:pPr>
    </w:p>
    <w:tbl>
      <w:tblPr>
        <w:tblW w:type="dxa" w:w="13669"/>
        <w:tblInd w:type="dxa" w:w="93"/>
        <w:tblLook w:val="04A0" w:noVBand="1" w:noHBand="0" w:lastColumn="0" w:firstColumn="1" w:lastRow="0" w:firstRow="1"/>
      </w:tblPr>
      <w:tblGrid>
        <w:gridCol w:w="1004"/>
        <w:gridCol w:w="3605"/>
        <w:gridCol w:w="2178"/>
        <w:gridCol w:w="4620"/>
        <w:gridCol w:w="2262"/>
      </w:tblGrid>
      <w:tr w:rsidTr="0051252E" w:rsidR="00C90371" w:rsidRPr="00C90371">
        <w:trPr>
          <w:trHeight w:val="302"/>
        </w:trPr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3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4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2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000000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51252E" w:rsidR="00C90371" w:rsidRPr="00C90371">
        <w:trPr>
          <w:trHeight w:val="302"/>
        </w:trPr>
        <w:tc>
          <w:tcPr>
            <w:tcW w:type="dxa" w:w="10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RATARSTVO d.o.o.</w:t>
            </w:r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39141474711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2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2"/>
        </w:trPr>
        <w:tc>
          <w:tcPr>
            <w:tcW w:type="dxa" w:w="10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 d.o.o.</w:t>
            </w:r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68416812428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Bjelovar, Matice Hrvatske 4/I </w:t>
            </w:r>
          </w:p>
        </w:tc>
        <w:tc>
          <w:tcPr>
            <w:tcW w:type="dxa" w:w="2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8.265.001,42</w:t>
            </w:r>
          </w:p>
        </w:tc>
      </w:tr>
      <w:tr w:rsidTr="0051252E" w:rsidR="00C90371" w:rsidRPr="00C90371">
        <w:trPr>
          <w:trHeight w:val="302"/>
        </w:trPr>
        <w:tc>
          <w:tcPr>
            <w:tcW w:type="dxa" w:w="10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VRTINVEST d.o.o.</w:t>
            </w:r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22535621645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Matice Hrvatske 4/I, BJELOVAR</w:t>
            </w:r>
          </w:p>
        </w:tc>
        <w:tc>
          <w:tcPr>
            <w:tcW w:type="dxa" w:w="2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4.316.827,41</w:t>
            </w:r>
          </w:p>
        </w:tc>
      </w:tr>
      <w:tr w:rsidTr="0051252E" w:rsidR="00C90371" w:rsidRPr="00C90371">
        <w:trPr>
          <w:trHeight w:val="302"/>
        </w:trPr>
        <w:tc>
          <w:tcPr>
            <w:tcW w:type="dxa" w:w="10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4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0371" w:rsidP="00C90371" w:rsidR="00C90371" w:rsidRPr="00C90371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C90371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16.898.656,24</w:t>
            </w:r>
          </w:p>
        </w:tc>
      </w:tr>
    </w:tbl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SimSun"/>
          <w:kern w:val="3"/>
          <w:lang w:eastAsia="hr-HR"/>
        </w:rPr>
      </w:pP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rPr>
          <w:rFonts w:cs="Times New Roman" w:eastAsia="Calibri"/>
          <w:b/>
          <w:kern w:val="3"/>
          <w:u w:val="single"/>
          <w:shd w:fill="FFFFFF" w:color="auto" w:val="clear"/>
          <w:lang w:eastAsia="hr-HR"/>
        </w:rPr>
      </w:pPr>
      <w:r w:rsidRPr="00C90371">
        <w:rPr>
          <w:rFonts w:cs="Times New Roman" w:eastAsia="Calibri"/>
          <w:b/>
          <w:kern w:val="3"/>
          <w:u w:val="single"/>
          <w:shd w:fill="FFFFFF" w:color="auto" w:val="clear"/>
          <w:lang w:eastAsia="hr-HR"/>
        </w:rPr>
        <w:t>Dug prema zaposlenicima iznosi 21.130,00kn</w:t>
      </w:r>
    </w:p>
    <w:p w:rsidRDefault="00C90371" w:rsidP="00C90371" w:rsidR="00C90371" w:rsidRPr="00C90371">
      <w:pPr>
        <w:widowControl w:val="false"/>
        <w:numPr>
          <w:ilvl w:val="0"/>
          <w:numId w:val="19"/>
        </w:numPr>
        <w:tabs>
          <w:tab w:pos="567" w:val="clear"/>
          <w:tab w:pos="360" w:val="num"/>
        </w:tabs>
        <w:suppressAutoHyphens/>
        <w:autoSpaceDE w:val="false"/>
        <w:autoSpaceDN w:val="false"/>
        <w:spacing w:lineRule="auto" w:line="360" w:after="200"/>
        <w:ind w:firstLine="0" w:left="0"/>
        <w:jc w:val="both"/>
        <w:rPr>
          <w:rFonts w:cs="Times New Roman" w:eastAsia="Calibri"/>
          <w:kern w:val="3"/>
          <w:shd w:fill="FFFFFF" w:color="auto" w:val="clear"/>
          <w:lang w:eastAsia="hr-HR"/>
        </w:rPr>
        <w:sectPr w:rsidSect="00F63017" w:rsidR="00C90371" w:rsidRPr="00C90371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  <w:r w:rsidRPr="00C90371">
        <w:rPr>
          <w:rFonts w:cs="Times New Roman" w:eastAsia="Calibri"/>
          <w:kern w:val="3"/>
          <w:shd w:fill="FFFFFF" w:color="auto" w:val="clear"/>
          <w:lang w:eastAsia="hr-HR"/>
        </w:rPr>
        <w:t xml:space="preserve">Tražbine radnika iskazane su u financijskim izvještajima Društva po osnovi neto plaća u iznosu 21.130,00 kn na dan 30.06.2016. godine. Ako </w:t>
      </w:r>
      <w:proofErr w:type="spellStart"/>
      <w:r w:rsidRPr="00C90371">
        <w:rPr>
          <w:rFonts w:cs="Times New Roman" w:eastAsia="Calibri"/>
          <w:kern w:val="3"/>
          <w:shd w:fill="FFFFFF" w:color="auto" w:val="clear"/>
          <w:lang w:eastAsia="hr-HR"/>
        </w:rPr>
        <w:t>predstečajna</w:t>
      </w:r>
      <w:proofErr w:type="spellEnd"/>
      <w:r w:rsidRPr="00C90371">
        <w:rPr>
          <w:rFonts w:cs="Times New Roman" w:eastAsia="Calibri"/>
          <w:kern w:val="3"/>
          <w:shd w:fill="FFFFFF" w:color="auto" w:val="clear"/>
          <w:lang w:eastAsia="hr-HR"/>
        </w:rPr>
        <w:t xml:space="preserve"> nagodba bude sklopljena, društvo izjavljuje da neće imati učinka na tražbine radnika, te će one biti podmirene po prioritetnom postupku. </w:t>
      </w: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60" w:id="45"/>
      <w:bookmarkStart w:name="_Toc432416062" w:id="46"/>
      <w:bookmarkStart w:name="_Toc459304546" w:id="47"/>
      <w:r w:rsidRPr="00C90371">
        <w:rPr>
          <w:rFonts w:cs="Times New Roman" w:eastAsia="Times New Roman"/>
          <w:b/>
          <w:bCs/>
        </w:rPr>
        <w:t>8. IZRAČUN TROŠKOVA RESTRUKTURIRANJA</w:t>
      </w:r>
      <w:bookmarkEnd w:id="45"/>
      <w:bookmarkEnd w:id="46"/>
      <w:bookmarkEnd w:id="47"/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 Troškove restrukturiranja, uključujući i troškove pravnih i poslovnih savjetnika, troškova postupka, i sl. procjenjujemo na </w:t>
      </w:r>
      <w:proofErr w:type="spellStart"/>
      <w:r w:rsidRPr="00C90371">
        <w:rPr>
          <w:rFonts w:cs="Times New Roman" w:eastAsia="Calibri"/>
        </w:rPr>
        <w:t>cca</w:t>
      </w:r>
      <w:proofErr w:type="spellEnd"/>
      <w:r w:rsidRPr="00C90371">
        <w:rPr>
          <w:rFonts w:cs="Times New Roman" w:eastAsia="Calibri"/>
        </w:rPr>
        <w:t xml:space="preserve"> 40.000,00 kn.</w:t>
      </w: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keepNext/>
        <w:keepLines/>
        <w:spacing w:lineRule="auto" w:line="276" w:after="0" w:before="480"/>
        <w:outlineLvl w:val="0"/>
        <w:rPr>
          <w:rFonts w:cs="Times New Roman" w:eastAsia="Times New Roman"/>
          <w:b/>
          <w:bCs/>
        </w:rPr>
      </w:pPr>
      <w:bookmarkStart w:name="_Toc430627161" w:id="48"/>
      <w:bookmarkStart w:name="_Toc432416063" w:id="49"/>
      <w:bookmarkStart w:name="_Toc459304547" w:id="50"/>
      <w:r w:rsidRPr="00C90371">
        <w:rPr>
          <w:rFonts w:cs="Times New Roman" w:eastAsia="Times New Roman"/>
          <w:b/>
          <w:bCs/>
        </w:rPr>
        <w:t>9. USPOREDBA S OČEKIVANIM NAMIRENJEM U SLUČAJU STEČAJA</w:t>
      </w:r>
      <w:bookmarkEnd w:id="48"/>
      <w:bookmarkEnd w:id="49"/>
      <w:bookmarkEnd w:id="50"/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proofErr w:type="spellStart"/>
      <w:r w:rsidRPr="00C90371">
        <w:rPr>
          <w:rFonts w:cs="Times New Roman" w:eastAsia="Calibri"/>
        </w:rPr>
        <w:t>naa</w:t>
      </w:r>
      <w:proofErr w:type="spellEnd"/>
      <w:r w:rsidRPr="00C90371">
        <w:rPr>
          <w:rFonts w:cs="Times New Roman" w:eastAsia="Calibri"/>
        </w:rPr>
        <w:t xml:space="preserve"> kvalitetan način i u kratkom roku kao što je moguće provesti u postupku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nagodbe.</w:t>
      </w: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Na djelomično namirenje morao bi računati tek dio vjerovnika u prvom redu.</w:t>
      </w: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Slijedom gore navedenog, društvo povećava broj zaposlenih sukladno planu restrukturiranja u postupku </w:t>
      </w:r>
      <w:proofErr w:type="spellStart"/>
      <w:r w:rsidRPr="00C90371">
        <w:rPr>
          <w:rFonts w:cs="Times New Roman" w:eastAsia="Calibri"/>
        </w:rPr>
        <w:t>predstečajne</w:t>
      </w:r>
      <w:proofErr w:type="spellEnd"/>
      <w:r w:rsidRPr="00C90371">
        <w:rPr>
          <w:rFonts w:cs="Times New Roman" w:eastAsia="Calibri"/>
        </w:rPr>
        <w:t xml:space="preserve"> nagodbe</w:t>
      </w: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before="24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>Plan financijskog i operativnog restrukturiranja društva VOĆNJAK d.o.o. za 2016.-2018. godinu usvojio je i odobrio direktor društva dana 18.08.2016. godine.</w:t>
      </w: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                                                                                                    Direktor</w:t>
      </w: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360" w:after="200" w:before="120"/>
        <w:jc w:val="both"/>
        <w:rPr>
          <w:rFonts w:cs="Times New Roman" w:eastAsia="Calibri"/>
        </w:rPr>
      </w:pPr>
      <w:r w:rsidRPr="00C90371">
        <w:rPr>
          <w:rFonts w:cs="Times New Roman" w:eastAsia="Calibri"/>
        </w:rPr>
        <w:t xml:space="preserve">                                                                                                    _________________________</w:t>
      </w:r>
    </w:p>
    <w:p w:rsidRDefault="00C90371" w:rsidP="00C90371" w:rsidR="00C90371" w:rsidRPr="00C90371">
      <w:pPr>
        <w:spacing w:before="240"/>
        <w:rPr>
          <w:rFonts w:cs="Times New Roman" w:eastAsia="Calibri"/>
        </w:rPr>
      </w:pPr>
    </w:p>
    <w:p w:rsidRDefault="00C90371" w:rsidP="00C90371" w:rsidR="00C90371" w:rsidRPr="00C90371">
      <w:pPr>
        <w:spacing w:lineRule="auto" w:line="276" w:after="200"/>
        <w:rPr>
          <w:rFonts w:cs="Times New Roman" w:eastAsia="Calibri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2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pct" w:w="5416"/>
      <w:tblCellMar>
        <w:top w:type="dxa" w:w="72"/>
        <w:left w:type="dxa" w:w="115"/>
        <w:bottom w:type="dxa" w:w="72"/>
        <w:right w:type="dxa" w:w="115"/>
      </w:tblCellMar>
      <w:tblLook w:val="04A0" w:noVBand="1" w:noHBand="0" w:lastColumn="0" w:firstColumn="1" w:lastRow="0" w:firstRow="1"/>
    </w:tblPr>
    <w:tblGrid>
      <w:gridCol w:w="9068"/>
      <w:gridCol w:w="1008"/>
    </w:tblGrid>
    <w:tr w:rsidTr="00D13345" w:rsidR="00C90371">
      <w:trPr>
        <w:trHeight w:val="273"/>
      </w:trPr>
      <w:tc>
        <w:tcPr>
          <w:tcW w:type="pct" w:w="4500"/>
          <w:tcBorders>
            <w:top w:space="0" w:sz="4" w:themeColor="text1" w:color="000000" w:val="single"/>
          </w:tcBorders>
        </w:tcPr>
        <w:p w:rsidRDefault="00531A8F" w:rsidP="00CF4BB5" w:rsidR="00C90371">
          <w:pPr>
            <w:pStyle w:val="Podnoje"/>
          </w:pPr>
          <w:sdt>
            <w:sdtPr>
              <w:rPr>
                <w:rStyle w:val="PozadinaSvijetloZelena"/>
              </w:rPr>
              <w:alias w:val="Company"/>
              <w:id w:val="20943214"/>
              <w:showingPlcHdr/>
              <w:dataBinding w:storeItemID="{6668398D-A668-4E3E-A5EB-62B293D839F1}" w:xpath="/ns0:Properties[1]/ns0:Company[1]" w:prefixMappings="xmlns:ns0='http://schemas.openxmlformats.org/officeDocument/2006/extended-properties'"/>
              <w:text/>
            </w:sdtPr>
            <w:sdtEndPr>
              <w:rPr>
                <w:rStyle w:val="Zadanifontodlomka"/>
                <w:shd w:fill="auto" w:color="auto" w:val="clear"/>
              </w:rPr>
            </w:sdtEndPr>
            <w:sdtContent>
              <w:r w:rsidR="00C90371" w:rsidRPr="00531A8F">
                <w:rPr>
                  <w:rStyle w:val="Tekstrezerviranogmjesta"/>
                </w:rPr>
                <w:t xml:space="preserve">     </w:t>
              </w:r>
            </w:sdtContent>
          </w:sdt>
          <w:r w:rsidR="00C90371">
            <w:t xml:space="preserve"> </w:t>
          </w:r>
        </w:p>
      </w:tc>
      <w:tc>
        <w:tcPr>
          <w:tcW w:type="pct" w:w="500"/>
          <w:tcBorders>
            <w:top w:space="0" w:sz="4" w:themeColor="accent2" w:color="C0504D" w:val="single"/>
          </w:tcBorders>
          <w:shd w:themeFillShade="BF" w:themeFill="accent2" w:fill="943634" w:color="auto" w:val="clear"/>
        </w:tcPr>
        <w:p w:rsidRDefault="00C90371" w:rsidR="00C90371">
          <w:pPr>
            <w:pStyle w:val="Zaglavlje"/>
            <w:rPr>
              <w:color w:themeColor="background1" w:val="FFFFFF"/>
            </w:rPr>
          </w:pPr>
          <w:r>
            <w:rPr>
              <w:noProof w:val="false"/>
            </w:rPr>
            <w:fldChar w:fldCharType="begin"/>
          </w:r>
          <w:r>
            <w:instrText xml:space="preserve"> PAGE   \* MERGEFORMAT </w:instrText>
          </w:r>
          <w:r>
            <w:rPr>
              <w:noProof w:val="false"/>
            </w:rPr>
            <w:fldChar w:fldCharType="separate"/>
          </w:r>
          <w:r w:rsidR="00531A8F" w:rsidRPr="00531A8F">
            <w:rPr>
              <w:color w:themeColor="background1" w:val="FFFFFF"/>
            </w:rPr>
            <w:t>2</w:t>
          </w:r>
          <w:r>
            <w:rPr>
              <w:color w:themeColor="background1" w:val="FFFFFF"/>
            </w:rPr>
            <w:fldChar w:fldCharType="end"/>
          </w:r>
        </w:p>
      </w:tc>
    </w:tr>
  </w:tbl>
  <w:p w:rsidRDefault="00C90371" w:rsidR="00C903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371" w:rsidR="00C90371">
    <w:pPr>
      <w:pStyle w:val="Zaglavlje"/>
    </w:pPr>
    <w:r>
      <w:t>VOĆNJAK  d.o.o.</w:t>
    </w:r>
  </w:p>
  <w:p w:rsidRDefault="00C90371" w:rsidR="00C903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583F8B"/>
    <w:multiLevelType w:val="hybridMultilevel"/>
    <w:tmpl w:val="E9564244"/>
    <w:lvl w:tplc="FB3019D4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2224F4"/>
    <w:multiLevelType w:val="hybridMultilevel"/>
    <w:tmpl w:val="BD5A98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0016E9"/>
    <w:multiLevelType w:val="hybridMultilevel"/>
    <w:tmpl w:val="5C6AA1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8"/>
  </w:num>
  <w:num w:numId="33">
    <w:abstractNumId w:val="28"/>
  </w:num>
  <w:num w:numId="34">
    <w:abstractNumId w:val="25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42"/>
  </w:num>
  <w:num w:numId="41">
    <w:abstractNumId w:val="46"/>
  </w:num>
  <w:num w:numId="42">
    <w:abstractNumId w:val="12"/>
  </w:num>
  <w:num w:numId="43">
    <w:abstractNumId w:val="44"/>
  </w:num>
  <w:num w:numId="44">
    <w:abstractNumId w:val="37"/>
  </w:num>
  <w:num w:numId="45">
    <w:abstractNumId w:val="34"/>
  </w:num>
  <w:num w:numId="46">
    <w:abstractNumId w:val="40"/>
  </w:num>
  <w:num w:numId="47">
    <w:abstractNumId w:val="27"/>
  </w:num>
  <w:numIdMacAtCleanup w:val="4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A8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371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C90371"/>
  </w:style>
  <w:style w:customStyle="true" w:styleId="BezproredaChar" w:type="character">
    <w:name w:val="Bez proreda Char"/>
    <w:basedOn w:val="Zadanifontodlomka"/>
    <w:link w:val="Bezproreda"/>
    <w:uiPriority w:val="1"/>
    <w:rsid w:val="00C90371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Reetkatablice10" w:type="table">
    <w:name w:val="Rešetka tablice1"/>
    <w:basedOn w:val="Obinatablica"/>
    <w:next w:val="Reetkatablice"/>
    <w:uiPriority w:val="59"/>
    <w:rsid w:val="00C90371"/>
    <w:pPr>
      <w:spacing w:lineRule="auto" w:line="240" w:after="0"/>
    </w:pPr>
    <w:rPr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Standard" w:type="paragraph">
    <w:name w:val="Standard"/>
    <w:rsid w:val="00C90371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 w:val="hr-HR"/>
    </w:rPr>
  </w:style>
  <w:style w:customStyle="true" w:styleId="t-9-8" w:type="paragraph">
    <w:name w:val="t-9-8"/>
    <w:basedOn w:val="Normal"/>
    <w:rsid w:val="00C90371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tyle10" w:type="paragraph">
    <w:name w:val="Style 1"/>
    <w:uiPriority w:val="99"/>
    <w:rsid w:val="00C90371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C90371"/>
  </w:style>
  <w:style w:customStyle="1" w:styleId="BezproredaChar" w:type="character">
    <w:name w:val="Bez proreda Char"/>
    <w:basedOn w:val="Zadanifontodlomka"/>
    <w:link w:val="Bezproreda"/>
    <w:uiPriority w:val="1"/>
    <w:rsid w:val="00C90371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Reetkatablice10" w:type="table">
    <w:name w:val="Rešetka tablice1"/>
    <w:basedOn w:val="Obinatablica"/>
    <w:next w:val="Reetkatablice"/>
    <w:uiPriority w:val="59"/>
    <w:rsid w:val="00C90371"/>
    <w:pPr>
      <w:spacing w:after="0" w:line="240" w:lineRule="auto"/>
    </w:pPr>
    <w:rPr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tandard" w:type="paragraph">
    <w:name w:val="Standard"/>
    <w:rsid w:val="00C90371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eastAsia="hr-HR" w:val="hr-HR"/>
    </w:rPr>
  </w:style>
  <w:style w:customStyle="1" w:styleId="t-9-8" w:type="paragraph">
    <w:name w:val="t-9-8"/>
    <w:basedOn w:val="Normal"/>
    <w:rsid w:val="00C90371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tyle10" w:type="paragraph">
    <w:name w:val="Style 1"/>
    <w:uiPriority w:val="99"/>
    <w:rsid w:val="00C90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diagramLayout" Target="diagrams/layout1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07/relationships/diagramDrawing" Target="diagrams/drawing1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diagramData" Target="diagrams/data1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chart" Target="charts/chart6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chart" Target="charts/chart5.xml"/><Relationship Id="rId10" Type="http://schemas.openxmlformats.org/officeDocument/2006/relationships/image" Target="media/image1.png"/><Relationship Id="rId19" Type="http://schemas.openxmlformats.org/officeDocument/2006/relationships/diagramQuickStyle" Target="diagrams/quickStyl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3.xml"/><Relationship Id="rId22" Type="http://schemas.openxmlformats.org/officeDocument/2006/relationships/chart" Target="charts/chart4.xm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5"/>
  <c:clrMapOvr folHlink="folHlink" hlink="hlink" accent6="accent6" accent5="accent5" accent4="accent4" accent3="accent3" accent2="accent2" accent1="accent1" tx2="dk2" bg2="lt2" tx1="dk1" bg1="lt1"/>
  <c:chart>
    <c:title>
      <c:layout/>
      <c:overlay val="false"/>
    </c:title>
    <c:autoTitleDeleted val="false"/>
    <c:view3D>
      <c:rotX val="30"/>
      <c:rotY val="0"/>
      <c:rAngAx val="false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Lbls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</c:dLbls>
          <c:cat>
            <c:strRef>
              <c:f>Sheet1!$A$2</c:f>
              <c:strCache>
                <c:ptCount val="1"/>
                <c:pt idx="0">
                  <c:v>VRT d.o.o.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</c:ser>
        <c:dLbls>
          <c:showLegendKey val="false"/>
          <c:showVal val="false"/>
          <c:showCatName val="true"/>
          <c:showSerName val="false"/>
          <c:showPercent val="true"/>
          <c:showBubbleSize val="false"/>
          <c:showLeaderLines val="true"/>
        </c:dLbls>
      </c:pie3DChart>
    </c:plotArea>
    <c:plotVisOnly val="true"/>
    <c:dispBlanksAs val="zero"/>
    <c:showDLblsOverMax val="false"/>
  </c:chart>
  <c:externalData r:id="rId2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5"/>
  <c:clrMapOvr folHlink="folHlink" hlink="hlink" accent6="accent6" accent5="accent5" accent4="accent4" accent3="accent3" accent2="accent2" accent1="accent1" tx2="dk2" bg2="lt2" tx1="dk1" bg1="lt1"/>
  <c:chart>
    <c:title>
      <c:layout/>
      <c:overlay val="false"/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invertIfNegative val="false"/>
          <c:trendline>
            <c:name>Linear </c:name>
            <c:trendlineType val="linear"/>
            <c:dispRSqr val="false"/>
            <c:dispEq val="false"/>
          </c:trendline>
          <c:trendline>
            <c:name>Linear (Broj zaposlenih - prosječan broj na temelju sati rada) </c:name>
            <c:trendlineType val="linear"/>
            <c:dispRSqr val="false"/>
            <c:dispEq val="false"/>
          </c:trendline>
          <c:cat>
            <c:strRef>
              <c:f>Sheet1!$A$2:$A$7</c:f>
              <c:strCache>
                <c:ptCount val="6"/>
                <c:pt idx="0">
                  <c:v>2011.</c:v>
                </c:pt>
                <c:pt idx="1">
                  <c:v>2012.</c:v>
                </c:pt>
                <c:pt idx="2">
                  <c:v>2013.</c:v>
                </c:pt>
                <c:pt idx="3">
                  <c:v>2014.</c:v>
                </c:pt>
                <c:pt idx="4">
                  <c:v>2015.</c:v>
                </c:pt>
                <c:pt idx="5">
                  <c:v>30.06.2016.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12</c:v>
                </c:pt>
                <c:pt idx="1">
                  <c:v>5</c:v>
                </c:pt>
                <c:pt idx="2">
                  <c:v>18</c:v>
                </c:pt>
                <c:pt idx="3">
                  <c:v>10</c:v>
                </c:pt>
                <c:pt idx="4">
                  <c:v>5</c:v>
                </c:pt>
                <c:pt idx="5">
                  <c:v>2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10349696"/>
        <c:axId val="110355584"/>
      </c:barChart>
      <c:catAx>
        <c:axId val="110349696"/>
        <c:scaling>
          <c:orientation val="minMax"/>
        </c:scaling>
        <c:delete val="false"/>
        <c:axPos val="b"/>
        <c:numFmt sourceLinked="false" formatCode="General"/>
        <c:majorTickMark val="out"/>
        <c:minorTickMark val="none"/>
        <c:tickLblPos val="nextTo"/>
        <c:crossAx val="110355584"/>
        <c:crosses val="autoZero"/>
        <c:auto val="true"/>
        <c:lblAlgn val="ctr"/>
        <c:lblOffset val="100"/>
        <c:noMultiLvlLbl val="false"/>
      </c:catAx>
      <c:valAx>
        <c:axId val="110355584"/>
        <c:scaling>
          <c:orientation val="minMax"/>
        </c:scaling>
        <c:delete val="false"/>
        <c:axPos val="l"/>
        <c:majorGridlines/>
        <c:numFmt sourceLinked="true" formatCode="General"/>
        <c:majorTickMark val="out"/>
        <c:minorTickMark val="none"/>
        <c:tickLblPos val="nextTo"/>
        <c:crossAx val="110349696"/>
        <c:crosses val="autoZero"/>
        <c:crossBetween val="between"/>
      </c:valAx>
    </c:plotArea>
    <c:legend>
      <c:legendPos val="r"/>
      <c:legendEntry>
        <c:idx val="1"/>
        <c:delete val="true"/>
      </c:legendEntry>
      <c:layout/>
      <c:overlay val="false"/>
    </c:legend>
    <c:plotVisOnly val="true"/>
    <c:dispBlanksAs val="gap"/>
    <c:showDLblsOverMax val="false"/>
  </c:chart>
  <c:externalData r:id="rId2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5"/>
  <c:clrMapOvr folHlink="folHlink" hlink="hlink" accent6="accent6" accent5="accent5" accent4="accent4" accent3="accent3" accent2="accent2" accent1="accent1" tx2="dk2" bg2="lt2" tx1="dk1" bg1="lt1"/>
  <c:chart>
    <c:title>
      <c:layout/>
      <c:overlay val="false"/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Pojekcija kretanja broja zaposlenih</c:v>
                </c:pt>
              </c:strCache>
            </c:strRef>
          </c:tx>
          <c:invertIfNegative val="false"/>
          <c:trendline>
            <c:name>Linear (Projekcija kretanja broja zaposlenih - prosječan broj temeljem sati rada)</c:name>
            <c:trendlineType val="linear"/>
            <c:dispRSqr val="false"/>
            <c:dispEq val="false"/>
          </c:trendline>
          <c:trendline>
            <c:trendlineType val="linear"/>
            <c:dispRSqr val="false"/>
            <c:dispEq val="false"/>
          </c:trendline>
          <c:cat>
            <c:strRef>
              <c:f>Sheet1!$A$2:$A$5</c:f>
              <c:strCache>
                <c:ptCount val="4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</c:v>
                </c:pt>
                <c:pt idx="1">
                  <c:v>5</c:v>
                </c:pt>
                <c:pt idx="2">
                  <c:v>8</c:v>
                </c:pt>
                <c:pt idx="3">
                  <c:v>8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34544640"/>
        <c:axId val="34558720"/>
      </c:barChart>
      <c:catAx>
        <c:axId val="34544640"/>
        <c:scaling>
          <c:orientation val="minMax"/>
        </c:scaling>
        <c:delete val="false"/>
        <c:axPos val="b"/>
        <c:numFmt sourceLinked="false" formatCode="General"/>
        <c:majorTickMark val="out"/>
        <c:minorTickMark val="none"/>
        <c:tickLblPos val="nextTo"/>
        <c:crossAx val="34558720"/>
        <c:crosses val="autoZero"/>
        <c:auto val="true"/>
        <c:lblAlgn val="ctr"/>
        <c:lblOffset val="100"/>
        <c:noMultiLvlLbl val="false"/>
      </c:catAx>
      <c:valAx>
        <c:axId val="34558720"/>
        <c:scaling>
          <c:orientation val="minMax"/>
        </c:scaling>
        <c:delete val="false"/>
        <c:axPos val="l"/>
        <c:majorGridlines/>
        <c:numFmt sourceLinked="true" formatCode="General"/>
        <c:majorTickMark val="out"/>
        <c:minorTickMark val="none"/>
        <c:tickLblPos val="nextTo"/>
        <c:crossAx val="34544640"/>
        <c:crosses val="autoZero"/>
        <c:crossBetween val="between"/>
      </c:valAx>
    </c:plotArea>
    <c:legend>
      <c:legendPos val="r"/>
      <c:legendEntry>
        <c:idx val="2"/>
        <c:delete val="true"/>
      </c:legendEntry>
      <c:layout/>
      <c:overlay val="false"/>
    </c:legend>
    <c:plotVisOnly val="true"/>
    <c:dispBlanksAs val="gap"/>
    <c:showDLblsOverMax val="false"/>
  </c:chart>
  <c:externalData r:id="rId2">
    <c:autoUpdate val="false"/>
  </c:externalData>
</c:chartSpace>
</file>

<file path=word/charts/chart4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lrMapOvr folHlink="folHlink" hlink="hlink" accent6="accent6" accent5="accent5" accent4="accent4" accent3="accent3" accent2="accent2" accent1="accent1" tx2="dk2" bg2="lt2" tx1="dk1" bg1="lt1"/>
  <c:chart>
    <c:autoTitleDeleted val="false"/>
    <c:view3D>
      <c:rotX val="15"/>
      <c:rotY val="20"/>
      <c:rAngAx val="true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6127200</c:v>
                </c:pt>
                <c:pt idx="1">
                  <c:v>3220400</c:v>
                </c:pt>
                <c:pt idx="2">
                  <c:v>2211600</c:v>
                </c:pt>
                <c:pt idx="3">
                  <c:v>1233300</c:v>
                </c:pt>
                <c:pt idx="4">
                  <c:v>355000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4544400</c:v>
                </c:pt>
                <c:pt idx="1">
                  <c:v>3033200</c:v>
                </c:pt>
                <c:pt idx="2">
                  <c:v>2133900</c:v>
                </c:pt>
                <c:pt idx="3">
                  <c:v>1213300</c:v>
                </c:pt>
                <c:pt idx="4">
                  <c:v>360000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2235000</c:v>
                </c:pt>
                <c:pt idx="1">
                  <c:v>794800</c:v>
                </c:pt>
                <c:pt idx="2">
                  <c:v>618700</c:v>
                </c:pt>
                <c:pt idx="3">
                  <c:v>324700</c:v>
                </c:pt>
                <c:pt idx="4">
                  <c:v>165000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Sheet1!$E$2:$E$6</c:f>
              <c:numCache>
                <c:formatCode>#,##0</c:formatCode>
                <c:ptCount val="5"/>
                <c:pt idx="0">
                  <c:v>1582800</c:v>
                </c:pt>
                <c:pt idx="1">
                  <c:v>187300</c:v>
                </c:pt>
                <c:pt idx="2">
                  <c:v>77700</c:v>
                </c:pt>
                <c:pt idx="3">
                  <c:v>20000</c:v>
                </c:pt>
                <c:pt idx="4">
                  <c:v>-5000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Sheet1!$F$2:$F$6</c:f>
              <c:numCache>
                <c:formatCode>#,##0</c:formatCode>
                <c:ptCount val="5"/>
                <c:pt idx="0">
                  <c:v>1263400</c:v>
                </c:pt>
                <c:pt idx="1">
                  <c:v>148500</c:v>
                </c:pt>
                <c:pt idx="2">
                  <c:v>59600</c:v>
                </c:pt>
                <c:pt idx="3">
                  <c:v>15500</c:v>
                </c:pt>
                <c:pt idx="4">
                  <c:v>-5000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cylinder"/>
        <c:axId val="89120768"/>
        <c:axId val="89122304"/>
        <c:axId val="0"/>
      </c:bar3DChart>
      <c:catAx>
        <c:axId val="89120768"/>
        <c:scaling>
          <c:orientation val="minMax"/>
        </c:scaling>
        <c:delete val="false"/>
        <c:axPos val="b"/>
        <c:numFmt sourceLinked="false" formatCode="General"/>
        <c:majorTickMark val="out"/>
        <c:minorTickMark val="none"/>
        <c:tickLblPos val="nextTo"/>
        <c:crossAx val="89122304"/>
        <c:crosses val="autoZero"/>
        <c:auto val="true"/>
        <c:lblAlgn val="ctr"/>
        <c:lblOffset val="100"/>
        <c:noMultiLvlLbl val="false"/>
      </c:catAx>
      <c:valAx>
        <c:axId val="89122304"/>
        <c:scaling>
          <c:orientation val="minMax"/>
        </c:scaling>
        <c:delete val="false"/>
        <c:axPos val="l"/>
        <c:majorGridlines/>
        <c:numFmt sourceLinked="true" formatCode="#,##0"/>
        <c:majorTickMark val="out"/>
        <c:minorTickMark val="none"/>
        <c:tickLblPos val="nextTo"/>
        <c:crossAx val="89120768"/>
        <c:crosses val="autoZero"/>
        <c:crossBetween val="between"/>
      </c:valAx>
    </c:plotArea>
    <c:legend>
      <c:legendPos val="r"/>
      <c:overlay val="false"/>
    </c:legend>
    <c:plotVisOnly val="true"/>
    <c:dispBlanksAs val="gap"/>
    <c:showDLblsOverMax val="false"/>
  </c:chart>
  <c:externalData r:id="rId2">
    <c:autoUpdate val="false"/>
  </c:externalData>
</c:chartSpace>
</file>

<file path=word/charts/chart5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lrMapOvr folHlink="folHlink" hlink="hlink" accent6="accent6" accent5="accent5" accent4="accent4" accent3="accent3" accent2="accent2" accent1="accent1" tx2="dk2" bg2="lt2" tx1="dk1" bg1="lt1"/>
  <c:chart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8000</c:v>
                </c:pt>
                <c:pt idx="1">
                  <c:v>1000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124000</c:v>
                </c:pt>
                <c:pt idx="1">
                  <c:v>850000</c:v>
                </c:pt>
                <c:pt idx="2">
                  <c:v>183000</c:v>
                </c:pt>
                <c:pt idx="3">
                  <c:v>141000</c:v>
                </c:pt>
                <c:pt idx="4">
                  <c:v>218729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110611072"/>
        <c:axId val="110612864"/>
      </c:barChart>
      <c:catAx>
        <c:axId val="110611072"/>
        <c:scaling>
          <c:orientation val="minMax"/>
        </c:scaling>
        <c:delete val="false"/>
        <c:axPos val="b"/>
        <c:numFmt sourceLinked="false" formatCode="General"/>
        <c:majorTickMark val="out"/>
        <c:minorTickMark val="none"/>
        <c:tickLblPos val="nextTo"/>
        <c:crossAx val="110612864"/>
        <c:crosses val="autoZero"/>
        <c:auto val="true"/>
        <c:lblAlgn val="ctr"/>
        <c:lblOffset val="100"/>
        <c:noMultiLvlLbl val="false"/>
      </c:catAx>
      <c:valAx>
        <c:axId val="110612864"/>
        <c:scaling>
          <c:orientation val="minMax"/>
        </c:scaling>
        <c:delete val="false"/>
        <c:axPos val="l"/>
        <c:majorGridlines/>
        <c:numFmt sourceLinked="true" formatCode="#,##0"/>
        <c:majorTickMark val="out"/>
        <c:minorTickMark val="none"/>
        <c:tickLblPos val="nextTo"/>
        <c:crossAx val="110611072"/>
        <c:crosses val="autoZero"/>
        <c:crossBetween val="between"/>
      </c:valAx>
    </c:plotArea>
    <c:legend>
      <c:legendPos val="r"/>
      <c:overlay val="false"/>
    </c:legend>
    <c:plotVisOnly val="true"/>
    <c:dispBlanksAs val="gap"/>
    <c:showDLblsOverMax val="false"/>
  </c:chart>
  <c:externalData r:id="rId2">
    <c:autoUpdate val="false"/>
  </c:externalData>
</c:chartSpace>
</file>

<file path=word/charts/chart6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lrMapOvr folHlink="folHlink" hlink="hlink" accent6="accent6" accent5="accent5" accent4="accent4" accent3="accent3" accent2="accent2" accent1="accent1" tx2="dk2" bg2="lt2" tx1="dk1" bg1="lt1"/>
  <c:chart>
    <c:title>
      <c:tx>
        <c:rich>
          <a:bodyPr/>
          <a:lstStyle/>
          <a:p>
            <a:pPr>
              <a:defRPr/>
            </a:pPr>
            <a:r>
              <a:rPr lang="en-US"/>
              <a:t>St</a:t>
            </a:r>
            <a:r>
              <a:rPr lang="hr-HR"/>
              <a:t>r</a:t>
            </a:r>
            <a:r>
              <a:rPr lang="en-US"/>
              <a:t>uktura duga</a:t>
            </a:r>
          </a:p>
        </c:rich>
      </c:tx>
      <c:overlay val="false"/>
    </c:title>
    <c:autoTitleDeleted val="false"/>
    <c:view3D>
      <c:rotX val="30"/>
      <c:rotY val="0"/>
      <c:rAngAx val="false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Stuktura duga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>
                <c15:layout xmlns:c15="http://schemas.microsoft.com/office/drawing/2012/chart"/>
              </c:ext>
            </c:extLst>
          </c:dLbls>
          <c:cat>
            <c:strRef>
              <c:f>Sheet1!$A$2:$A$5</c:f>
              <c:strCache>
                <c:ptCount val="4"/>
                <c:pt idx="0">
                  <c:v>Javna uprava i trgovačka društva u većinskom vlasništvu RH</c:v>
                </c:pt>
                <c:pt idx="1">
                  <c:v>Financijske institucije</c:v>
                </c:pt>
                <c:pt idx="2">
                  <c:v>Ostali vjerovnici</c:v>
                </c:pt>
                <c:pt idx="3">
                  <c:v>Zaposlenici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</c:v>
                </c:pt>
                <c:pt idx="1">
                  <c:v>0.70270000000000055</c:v>
                </c:pt>
                <c:pt idx="2">
                  <c:v>0.29550000000000026</c:v>
                </c:pt>
                <c:pt idx="3">
                  <c:v>1.8000000000000021E-3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</c:pie3DChart>
    </c:plotArea>
    <c:legend>
      <c:legendPos val="r"/>
      <c:overlay val="false"/>
    </c:legend>
    <c:plotVisOnly val="true"/>
    <c:dispBlanksAs val="zero"/>
    <c:showDLblsOverMax val="false"/>
  </c:chart>
  <c:externalData r:id="rId2">
    <c:autoUpdate val="false"/>
  </c:externalData>
</c:chartSpace>
</file>

<file path=word/diagrams/colors1.xml><?xml version="1.0" encoding="utf-8"?>
<dgm:colors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colors/accent3_2">
  <dgm:title val=""/>
  <dgm:desc val=""/>
  <dgm:catLst>
    <dgm:cat pri="11200" type="accent3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gm:ptLst>
    <dgm:pt type="doc" modelId="{CDE5DECA-7601-4323-96E3-D25D1930B00A}">
      <dgm:prSet phldr="true" csCatId="accent3" csTypeId="urn:microsoft.com/office/officeart/2005/8/colors/accent3_2" qsCatId="simple" qsTypeId="urn:microsoft.com/office/officeart/2005/8/quickstyle/simple4" loCatId="hierarchy" loTypeId="urn:microsoft.com/office/officeart/2005/8/layout/orgChart1"/>
      <dgm:spPr/>
      <dgm:t>
        <a:bodyPr/>
        <a:lstStyle/>
        <a:p>
          <a:endParaRPr lang="hr-HR"/>
        </a:p>
      </dgm:t>
    </dgm:pt>
    <dgm:pt modelId="{6A72E13B-C4BF-497B-8327-247883C283BB}">
      <dgm:prSet custT="true" phldrT="[Text]"/>
      <dgm:spPr>
        <a:xfrm>
          <a:off y="0" x="937644"/>
          <a:ext cy="1714514" cx="2991476"/>
        </a:xfrm>
        <a:prstGeom prst="rect">
          <a:avLst/>
        </a:prstGeom>
        <a:gradFill rotWithShape="false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gm:spPr>
      <dgm:t>
        <a:bodyPr/>
        <a:lstStyle/>
        <a:p>
          <a:r>
            <a:rPr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Uprava</a:t>
          </a:r>
        </a:p>
        <a:p>
          <a:r>
            <a:rPr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(Diretkor, Direktor i Prokurist)</a:t>
          </a:r>
        </a:p>
        <a:p>
          <a:endParaRPr sz="1200" lang="hr-HR">
            <a:solidFill>
              <a:sysClr lastClr="FFFFFF" val="window"/>
            </a:solidFill>
            <a:latin charset="0" pitchFamily="18" typeface="Times New Roman"/>
            <a:ea typeface="+mn-ea"/>
            <a:cs charset="0" pitchFamily="18" typeface="Times New Roman"/>
          </a:endParaRPr>
        </a:p>
      </dgm:t>
    </dgm:pt>
    <dgm:pt cxnId="{8C94A1F1-1F6A-466D-88F0-4B6839AAD77A}" type="parTrans" modelId="{E03E60E3-FBF4-4A20-9463-57ECE3D2AECB}">
      <dgm:prSet/>
      <dgm:spPr/>
      <dgm:t>
        <a:bodyPr/>
        <a:lstStyle/>
        <a:p>
          <a:endParaRPr sz="1200" lang="hr-HR">
            <a:latin charset="0" pitchFamily="18" typeface="Times New Roman"/>
            <a:cs charset="0" pitchFamily="18" typeface="Times New Roman"/>
          </a:endParaRPr>
        </a:p>
      </dgm:t>
    </dgm:pt>
    <dgm:pt cxnId="{8C94A1F1-1F6A-466D-88F0-4B6839AAD77A}" type="sibTrans" modelId="{6FB29261-64E0-4B05-B9C2-A22A7580B3AE}">
      <dgm:prSet/>
      <dgm:spPr/>
      <dgm:t>
        <a:bodyPr/>
        <a:lstStyle/>
        <a:p>
          <a:endParaRPr sz="1200" lang="hr-HR">
            <a:latin charset="0" pitchFamily="18" typeface="Times New Roman"/>
            <a:cs charset="0" pitchFamily="18" typeface="Times New Roman"/>
          </a:endParaRPr>
        </a:p>
      </dgm:t>
    </dgm:pt>
    <dgm:pt modelId="{4BECD48C-236F-4C09-8C89-AD211CD79C5A}">
      <dgm:prSet custT="true"/>
      <dgm:spPr>
        <a:xfrm>
          <a:off y="2646085" x="3073780"/>
          <a:ext cy="1629653" cx="2996439"/>
        </a:xfrm>
        <a:prstGeom prst="rect">
          <a:avLst/>
        </a:prstGeom>
        <a:gradFill rotWithShape="false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gm:spPr>
      <dgm:t>
        <a:bodyPr/>
        <a:lstStyle/>
        <a:p>
          <a:r>
            <a:rPr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Voćarstvo</a:t>
          </a:r>
        </a:p>
      </dgm:t>
    </dgm:pt>
    <dgm:pt cxnId="{9446F16B-D4AB-49DF-8583-762908D6E05B}" type="parTrans" modelId="{CFC4B39A-685D-4AB4-A201-88F82EEB00B3}">
      <dgm:prSet/>
      <dgm:spPr>
        <a:xfrm>
          <a:off y="1714514" x="2433382"/>
          <a:ext cy="931570" cx="2138617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466278" x="0"/>
              </a:lnTo>
              <a:lnTo>
                <a:pt y="466278" x="2138617"/>
              </a:lnTo>
              <a:lnTo>
                <a:pt y="931570" x="2138617"/>
              </a:lnTo>
            </a:path>
          </a:pathLst>
        </a:custGeom>
        <a:noFill/>
        <a:ln algn="ctr" cmpd="sng" cap="flat" w="9525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hr-HR"/>
        </a:p>
      </dgm:t>
    </dgm:pt>
    <dgm:pt cxnId="{9446F16B-D4AB-49DF-8583-762908D6E05B}" type="sibTrans" modelId="{38519C6B-BECE-4C13-97D5-794D5AB144E5}">
      <dgm:prSet/>
      <dgm:spPr/>
      <dgm:t>
        <a:bodyPr/>
        <a:lstStyle/>
        <a:p>
          <a:endParaRPr lang="hr-HR"/>
        </a:p>
      </dgm:t>
    </dgm:pt>
    <dgm:pt type="pres" modelId="{9319A75D-E06F-4530-B4D0-2C455069B6BF}">
      <dgm:prSet presStyleCnt="0" presName="hierChild1" presAssocID="{CDE5DECA-7601-4323-96E3-D25D1930B00A}">
        <dgm:presLayoutVars>
          <dgm:orgChart val="true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hr-HR"/>
        </a:p>
      </dgm:t>
    </dgm:pt>
    <dgm:pt type="pres" modelId="{75E8BE94-0ACA-4C71-9C9D-C00B3DE37986}">
      <dgm:prSet presStyleCnt="0" presName="hierRoot1" presAssocID="{6A72E13B-C4BF-497B-8327-247883C283BB}">
        <dgm:presLayoutVars>
          <dgm:hierBranch val="init"/>
        </dgm:presLayoutVars>
      </dgm:prSet>
      <dgm:spPr/>
      <dgm:t>
        <a:bodyPr/>
        <a:lstStyle/>
        <a:p>
          <a:endParaRPr lang="hr-HR"/>
        </a:p>
      </dgm:t>
    </dgm:pt>
    <dgm:pt type="pres" modelId="{6023BC91-8115-4A86-90FC-B66B1DBEAEAD}">
      <dgm:prSet presStyleCnt="0" presName="rootComposite1" presAssocID="{6A72E13B-C4BF-497B-8327-247883C283BB}"/>
      <dgm:spPr/>
      <dgm:t>
        <a:bodyPr/>
        <a:lstStyle/>
        <a:p>
          <a:endParaRPr lang="hr-HR"/>
        </a:p>
      </dgm:t>
    </dgm:pt>
    <dgm:pt type="pres" modelId="{C1FB4E5E-C400-4581-97C4-C20888DEF4C8}">
      <dgm:prSet custLinFactNeighborY="-57" custLinFactNeighborX="-48261" custScaleY="77381" custScaleX="67507" presStyleCnt="1" presStyleIdx="0" presStyleLbl="node0" presName="rootText1" presAssocID="{6A72E13B-C4BF-497B-8327-247883C283BB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A12D7C68-A0C2-4B01-9554-0CCD02D9B42A}">
      <dgm:prSet presStyleCnt="0" presStyleIdx="0" presStyleLbl="node1" presName="rootConnector1" presAssocID="{6A72E13B-C4BF-497B-8327-247883C283BB}"/>
      <dgm:spPr/>
      <dgm:t>
        <a:bodyPr/>
        <a:lstStyle/>
        <a:p>
          <a:endParaRPr lang="hr-HR"/>
        </a:p>
      </dgm:t>
    </dgm:pt>
    <dgm:pt type="pres" modelId="{92BC194E-8F03-443A-8E37-852EA94D2159}">
      <dgm:prSet presStyleCnt="0" presName="hierChild2" presAssocID="{6A72E13B-C4BF-497B-8327-247883C283BB}"/>
      <dgm:spPr/>
      <dgm:t>
        <a:bodyPr/>
        <a:lstStyle/>
        <a:p>
          <a:endParaRPr lang="hr-HR"/>
        </a:p>
      </dgm:t>
    </dgm:pt>
    <dgm:pt type="pres" modelId="{02C2F7E5-D7E1-4F90-879D-DB01A56F41C4}">
      <dgm:prSet presStyleCnt="1" presStyleIdx="0" presStyleLbl="parChTrans1D2" presName="Name37" presAssocID="{CFC4B39A-685D-4AB4-A201-88F82EEB00B3}"/>
      <dgm:spPr/>
      <dgm:t>
        <a:bodyPr/>
        <a:lstStyle/>
        <a:p>
          <a:endParaRPr lang="hr-HR"/>
        </a:p>
      </dgm:t>
    </dgm:pt>
    <dgm:pt type="pres" modelId="{ABBE4C8A-290C-4ED7-A812-FDFE37AE98A7}">
      <dgm:prSet presStyleCnt="0" presName="hierRoot2" presAssocID="{4BECD48C-236F-4C09-8C89-AD211CD79C5A}">
        <dgm:presLayoutVars>
          <dgm:hierBranch val="init"/>
        </dgm:presLayoutVars>
      </dgm:prSet>
      <dgm:spPr/>
      <dgm:t>
        <a:bodyPr/>
        <a:lstStyle/>
        <a:p>
          <a:endParaRPr lang="hr-HR"/>
        </a:p>
      </dgm:t>
    </dgm:pt>
    <dgm:pt type="pres" modelId="{D53ACBCE-0D92-4AD8-ACEC-5B7B21F552EB}">
      <dgm:prSet presStyleCnt="0" presName="rootComposite" presAssocID="{4BECD48C-236F-4C09-8C89-AD211CD79C5A}"/>
      <dgm:spPr/>
      <dgm:t>
        <a:bodyPr/>
        <a:lstStyle/>
        <a:p>
          <a:endParaRPr lang="hr-HR"/>
        </a:p>
      </dgm:t>
    </dgm:pt>
    <dgm:pt type="pres" modelId="{D1C8109C-7340-4BB1-9A88-C14DCBAF4770}">
      <dgm:prSet custScaleY="73551" custScaleX="67619" presStyleCnt="1" presStyleIdx="0" presStyleLbl="node2" presName="rootText" presAssocID="{4BECD48C-236F-4C09-8C89-AD211CD79C5A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754B4074-E9EC-4A62-8DC8-C98852FBDE62}">
      <dgm:prSet presStyleCnt="1" presStyleIdx="0" presStyleLbl="node2" presName="rootConnector" presAssocID="{4BECD48C-236F-4C09-8C89-AD211CD79C5A}"/>
      <dgm:spPr/>
      <dgm:t>
        <a:bodyPr/>
        <a:lstStyle/>
        <a:p>
          <a:endParaRPr lang="hr-HR"/>
        </a:p>
      </dgm:t>
    </dgm:pt>
    <dgm:pt type="pres" modelId="{CAC734B6-76C5-4105-B3F7-FBDDA945F5CC}">
      <dgm:prSet presStyleCnt="0" presName="hierChild4" presAssocID="{4BECD48C-236F-4C09-8C89-AD211CD79C5A}"/>
      <dgm:spPr/>
      <dgm:t>
        <a:bodyPr/>
        <a:lstStyle/>
        <a:p>
          <a:endParaRPr lang="hr-HR"/>
        </a:p>
      </dgm:t>
    </dgm:pt>
    <dgm:pt type="pres" modelId="{3CBDF966-C640-4641-8EEE-80A7D0DEE9C8}">
      <dgm:prSet presStyleCnt="0" presName="hierChild5" presAssocID="{4BECD48C-236F-4C09-8C89-AD211CD79C5A}"/>
      <dgm:spPr/>
      <dgm:t>
        <a:bodyPr/>
        <a:lstStyle/>
        <a:p>
          <a:endParaRPr lang="hr-HR"/>
        </a:p>
      </dgm:t>
    </dgm:pt>
    <dgm:pt type="pres" modelId="{A6174BB3-F05F-49CD-8206-B80D88AE512F}">
      <dgm:prSet presStyleCnt="0" presName="hierChild3" presAssocID="{6A72E13B-C4BF-497B-8327-247883C283BB}"/>
      <dgm:spPr/>
      <dgm:t>
        <a:bodyPr/>
        <a:lstStyle/>
        <a:p>
          <a:endParaRPr lang="hr-HR"/>
        </a:p>
      </dgm:t>
    </dgm:pt>
  </dgm:ptLst>
  <dgm:cxnLst>
    <dgm:cxn sibTransId="{38519C6B-BECE-4C13-97D5-794D5AB144E5}" parTransId="{CFC4B39A-685D-4AB4-A201-88F82EEB00B3}" destOrd="0" srcOrd="0" destId="{4BECD48C-236F-4C09-8C89-AD211CD79C5A}" srcId="{6A72E13B-C4BF-497B-8327-247883C283BB}" modelId="{9446F16B-D4AB-49DF-8583-762908D6E05B}"/>
    <dgm:cxn presId="urn:microsoft.com/office/officeart/2005/8/layout/orgChart1" destOrd="0" srcOrd="0" destId="{02C2F7E5-D7E1-4F90-879D-DB01A56F41C4}" srcId="{CFC4B39A-685D-4AB4-A201-88F82EEB00B3}" type="presOf" modelId="{A3AEB82A-CC45-4BB7-83E8-96B40A9694BC}"/>
    <dgm:cxn presId="urn:microsoft.com/office/officeart/2005/8/layout/orgChart1" destOrd="0" srcOrd="0" destId="{C1FB4E5E-C400-4581-97C4-C20888DEF4C8}" srcId="{6A72E13B-C4BF-497B-8327-247883C283BB}" type="presOf" modelId="{A4074088-E3D4-47C3-8AD3-06AB9E8DE1C7}"/>
    <dgm:cxn presId="urn:microsoft.com/office/officeart/2005/8/layout/orgChart1" destOrd="0" srcOrd="1" destId="{A12D7C68-A0C2-4B01-9554-0CCD02D9B42A}" srcId="{6A72E13B-C4BF-497B-8327-247883C283BB}" type="presOf" modelId="{77C6CC44-827F-4708-A654-67E458A6A8BC}"/>
    <dgm:cxn sibTransId="{6FB29261-64E0-4B05-B9C2-A22A7580B3AE}" parTransId="{E03E60E3-FBF4-4A20-9463-57ECE3D2AECB}" destOrd="0" srcOrd="0" destId="{6A72E13B-C4BF-497B-8327-247883C283BB}" srcId="{CDE5DECA-7601-4323-96E3-D25D1930B00A}" modelId="{8C94A1F1-1F6A-466D-88F0-4B6839AAD77A}"/>
    <dgm:cxn presId="urn:microsoft.com/office/officeart/2005/8/layout/orgChart1" destOrd="0" srcOrd="1" destId="{754B4074-E9EC-4A62-8DC8-C98852FBDE62}" srcId="{4BECD48C-236F-4C09-8C89-AD211CD79C5A}" type="presOf" modelId="{EF73923C-0838-4B82-9238-B1E1BF168F72}"/>
    <dgm:cxn presId="urn:microsoft.com/office/officeart/2005/8/layout/orgChart1" destOrd="0" srcOrd="0" destId="{9319A75D-E06F-4530-B4D0-2C455069B6BF}" srcId="{CDE5DECA-7601-4323-96E3-D25D1930B00A}" type="presOf" modelId="{6DAC267D-CB73-4633-977D-57A378FA51A8}"/>
    <dgm:cxn presId="urn:microsoft.com/office/officeart/2005/8/layout/orgChart1" destOrd="0" srcOrd="0" destId="{D1C8109C-7340-4BB1-9A88-C14DCBAF4770}" srcId="{4BECD48C-236F-4C09-8C89-AD211CD79C5A}" type="presOf" modelId="{F20E2207-98C0-42EC-8264-E348EE94E771}"/>
    <dgm:cxn presId="urn:microsoft.com/office/officeart/2005/8/layout/orgChart1" destOrd="0" srcOrd="0" destId="{75E8BE94-0ACA-4C71-9C9D-C00B3DE37986}" srcId="{9319A75D-E06F-4530-B4D0-2C455069B6BF}" type="presParOf" modelId="{C83CB192-E88A-4909-81A3-22B358A097F7}"/>
    <dgm:cxn presId="urn:microsoft.com/office/officeart/2005/8/layout/orgChart1" destOrd="0" srcOrd="0" destId="{6023BC91-8115-4A86-90FC-B66B1DBEAEAD}" srcId="{75E8BE94-0ACA-4C71-9C9D-C00B3DE37986}" type="presParOf" modelId="{9C7EBB41-8250-45DE-8A32-A6E9A37655B6}"/>
    <dgm:cxn presId="urn:microsoft.com/office/officeart/2005/8/layout/orgChart1" destOrd="0" srcOrd="0" destId="{C1FB4E5E-C400-4581-97C4-C20888DEF4C8}" srcId="{6023BC91-8115-4A86-90FC-B66B1DBEAEAD}" type="presParOf" modelId="{C00D12F8-C8C3-4D84-8A70-0D92DE01C48F}"/>
    <dgm:cxn presId="urn:microsoft.com/office/officeart/2005/8/layout/orgChart1" destOrd="0" srcOrd="1" destId="{A12D7C68-A0C2-4B01-9554-0CCD02D9B42A}" srcId="{6023BC91-8115-4A86-90FC-B66B1DBEAEAD}" type="presParOf" modelId="{0635F976-7256-42F9-A581-29BF9FF6D693}"/>
    <dgm:cxn presId="urn:microsoft.com/office/officeart/2005/8/layout/orgChart1" destOrd="0" srcOrd="1" destId="{92BC194E-8F03-443A-8E37-852EA94D2159}" srcId="{75E8BE94-0ACA-4C71-9C9D-C00B3DE37986}" type="presParOf" modelId="{F43AB2DB-22E2-45BB-B1AE-803634E3DAAF}"/>
    <dgm:cxn presId="urn:microsoft.com/office/officeart/2005/8/layout/orgChart1" destOrd="0" srcOrd="0" destId="{02C2F7E5-D7E1-4F90-879D-DB01A56F41C4}" srcId="{92BC194E-8F03-443A-8E37-852EA94D2159}" type="presParOf" modelId="{6787CED1-F173-46CC-BADC-F8BF301F0A8C}"/>
    <dgm:cxn presId="urn:microsoft.com/office/officeart/2005/8/layout/orgChart1" destOrd="0" srcOrd="1" destId="{ABBE4C8A-290C-4ED7-A812-FDFE37AE98A7}" srcId="{92BC194E-8F03-443A-8E37-852EA94D2159}" type="presParOf" modelId="{ABCBF968-584C-41EC-9B92-7F0ACB768534}"/>
    <dgm:cxn presId="urn:microsoft.com/office/officeart/2005/8/layout/orgChart1" destOrd="0" srcOrd="0" destId="{D53ACBCE-0D92-4AD8-ACEC-5B7B21F552EB}" srcId="{ABBE4C8A-290C-4ED7-A812-FDFE37AE98A7}" type="presParOf" modelId="{6868203B-A194-495F-8B71-831F24A2E348}"/>
    <dgm:cxn presId="urn:microsoft.com/office/officeart/2005/8/layout/orgChart1" destOrd="0" srcOrd="0" destId="{D1C8109C-7340-4BB1-9A88-C14DCBAF4770}" srcId="{D53ACBCE-0D92-4AD8-ACEC-5B7B21F552EB}" type="presParOf" modelId="{66FBD11C-00F9-441B-A135-87C69288D83E}"/>
    <dgm:cxn presId="urn:microsoft.com/office/officeart/2005/8/layout/orgChart1" destOrd="0" srcOrd="1" destId="{754B4074-E9EC-4A62-8DC8-C98852FBDE62}" srcId="{D53ACBCE-0D92-4AD8-ACEC-5B7B21F552EB}" type="presParOf" modelId="{B3F0A67E-2192-477C-B4D0-7807888CBB12}"/>
    <dgm:cxn presId="urn:microsoft.com/office/officeart/2005/8/layout/orgChart1" destOrd="0" srcOrd="1" destId="{CAC734B6-76C5-4105-B3F7-FBDDA945F5CC}" srcId="{ABBE4C8A-290C-4ED7-A812-FDFE37AE98A7}" type="presParOf" modelId="{41613FED-9C22-4027-8EC1-ACE65C76DF6A}"/>
    <dgm:cxn presId="urn:microsoft.com/office/officeart/2005/8/layout/orgChart1" destOrd="0" srcOrd="2" destId="{3CBDF966-C640-4641-8EEE-80A7D0DEE9C8}" srcId="{ABBE4C8A-290C-4ED7-A812-FDFE37AE98A7}" type="presParOf" modelId="{35D54539-151E-4458-B39C-CEB5AE0A8FBA}"/>
    <dgm:cxn presId="urn:microsoft.com/office/officeart/2005/8/layout/orgChart1" destOrd="0" srcOrd="2" destId="{A6174BB3-F05F-49CD-8206-B80D88AE512F}" srcId="{75E8BE94-0ACA-4C71-9C9D-C00B3DE37986}" type="presParOf" modelId="{3107E244-A812-48BA-9EFE-BD1B3D08040A}"/>
  </dgm:cxnLst>
  <dgm:bg/>
  <dgm:whole/>
  <dgm:extLst>
    <a:ext uri="http://schemas.microsoft.com/office/drawing/2008/diagram">
      <dsp:dataModelExt minVer="http://schemas.openxmlformats.org/drawingml/2006/diagram" relId="rId21"/>
    </a:ext>
  </dgm:extLst>
</dgm:dataModel>
</file>

<file path=word/diagrams/drawing1.xml><?xml version="1.0" encoding="utf-8"?>
<dsp:draw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sp:spTree>
    <dsp:nvGrpSpPr>
      <dsp:cNvPr name="" id="0"/>
      <dsp:cNvGrpSpPr/>
    </dsp:nvGrpSpPr>
    <dsp:grpSpPr/>
    <dsp:sp modelId="{02C2F7E5-D7E1-4F90-879D-DB01A56F41C4}">
      <dsp:nvSpPr>
        <dsp:cNvPr name="" id="0"/>
        <dsp:cNvSpPr/>
      </dsp:nvSpPr>
      <dsp:spPr>
        <a:xfrm>
          <a:off y="1714514" x="2433382"/>
          <a:ext cy="931570" cx="2138617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466278" x="0"/>
              </a:lnTo>
              <a:lnTo>
                <a:pt y="466278" x="2138617"/>
              </a:lnTo>
              <a:lnTo>
                <a:pt y="931570" x="2138617"/>
              </a:lnTo>
            </a:path>
          </a:pathLst>
        </a:custGeom>
        <a:noFill/>
        <a:ln algn="ctr" cmpd="sng" cap="flat" w="9525">
          <a:solidFill>
            <a:srgbClr val="9BBB59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C1FB4E5E-C400-4581-97C4-C20888DEF4C8}">
      <dsp:nvSpPr>
        <dsp:cNvPr name="" id="0"/>
        <dsp:cNvSpPr/>
      </dsp:nvSpPr>
      <dsp:spPr>
        <a:xfrm>
          <a:off y="0" x="937644"/>
          <a:ext cy="1714514" cx="2991476"/>
        </a:xfrm>
        <a:prstGeom prst="rect">
          <a:avLst/>
        </a:prstGeom>
        <a:gradFill rotWithShape="false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0">
          <a:scrgbClr b="0" g="0" r="0"/>
        </a:lnRef>
        <a:fillRef idx="3">
          <a:scrgbClr b="0" g="0" r="0"/>
        </a:fillRef>
        <a:effectRef idx="2">
          <a:scrgbClr b="0" g="0" r="0"/>
        </a:effectRef>
        <a:fontRef idx="minor">
          <a:schemeClr val="lt1"/>
        </a:fontRef>
      </dsp:style>
      <dsp:txBody>
        <a:bodyPr anchorCtr="false" anchor="ctr" spcCol="1270" numCol="1" bIns="7620" rIns="7620" tIns="7620" lIns="7620" wrap="square" vert="horz" spcFirstLastPara="false">
          <a:noAutofit/>
        </a:bodyPr>
        <a:lstStyle/>
        <a:p>
          <a:pPr defTabSz="5334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Uprava</a:t>
          </a:r>
        </a:p>
        <a:p>
          <a:pPr defTabSz="5334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(Diretkor, Direktor i Prokurist)</a:t>
          </a:r>
        </a:p>
        <a:p>
          <a:pPr defTabSz="5334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ern="1200" sz="1200" lang="hr-HR">
            <a:solidFill>
              <a:sysClr lastClr="FFFFFF" val="window"/>
            </a:solidFill>
            <a:latin charset="0" pitchFamily="18" typeface="Times New Roman"/>
            <a:ea typeface="+mn-ea"/>
            <a:cs charset="0" pitchFamily="18" typeface="Times New Roman"/>
          </a:endParaRPr>
        </a:p>
      </dsp:txBody>
      <dsp:txXfrm>
        <a:off y="0" x="937644"/>
        <a:ext cy="1714514" cx="2991476"/>
      </dsp:txXfrm>
    </dsp:sp>
    <dsp:sp modelId="{D1C8109C-7340-4BB1-9A88-C14DCBAF4770}">
      <dsp:nvSpPr>
        <dsp:cNvPr name="" id="0"/>
        <dsp:cNvSpPr/>
      </dsp:nvSpPr>
      <dsp:spPr>
        <a:xfrm>
          <a:off y="2646085" x="3073780"/>
          <a:ext cy="1629653" cx="2996439"/>
        </a:xfrm>
        <a:prstGeom prst="rect">
          <a:avLst/>
        </a:prstGeom>
        <a:gradFill rotWithShape="false">
          <a:gsLst>
            <a:gs pos="0">
              <a:srgbClr val="9BBB59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9BBB59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scaled="false" ang="16200000"/>
        </a:gradFill>
        <a:ln>
          <a:noFill/>
        </a:ln>
        <a:effectLst>
          <a:outerShdw rotWithShape="false" dir="5400000" dist="23000" blurRad="40000">
            <a:srgbClr val="000000">
              <a:alpha val="35000"/>
            </a:srgbClr>
          </a:outerShdw>
        </a:effectLst>
      </dsp:spPr>
      <dsp:style>
        <a:lnRef idx="0">
          <a:scrgbClr b="0" g="0" r="0"/>
        </a:lnRef>
        <a:fillRef idx="3">
          <a:scrgbClr b="0" g="0" r="0"/>
        </a:fillRef>
        <a:effectRef idx="2">
          <a:scrgbClr b="0" g="0" r="0"/>
        </a:effectRef>
        <a:fontRef idx="minor">
          <a:schemeClr val="lt1"/>
        </a:fontRef>
      </dsp:style>
      <dsp:txBody>
        <a:bodyPr anchorCtr="false" anchor="ctr" spcCol="1270" numCol="1" bIns="7620" rIns="7620" tIns="7620" lIns="7620" wrap="square" vert="horz" spcFirstLastPara="false">
          <a:noAutofit/>
        </a:bodyPr>
        <a:lstStyle/>
        <a:p>
          <a:pPr defTabSz="5334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200" lang="hr-HR">
              <a:solidFill>
                <a:sysClr lastClr="FFFFFF" val="window"/>
              </a:solidFill>
              <a:latin charset="0" pitchFamily="18" typeface="Times New Roman"/>
              <a:ea typeface="+mn-ea"/>
              <a:cs charset="0" pitchFamily="18" typeface="Times New Roman"/>
            </a:rPr>
            <a:t>Voćarstvo</a:t>
          </a:r>
        </a:p>
      </dsp:txBody>
      <dsp:txXfrm>
        <a:off y="2646085" x="3073780"/>
        <a:ext cy="1629653" cx="2996439"/>
      </dsp:txXfrm>
    </dsp:sp>
  </dsp:spTree>
</dsp:drawing>
</file>

<file path=word/diagrams/layout1.xml><?xml version="1.0" encoding="utf-8"?>
<dgm:layout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layout/orgChart1">
  <dgm:title val=""/>
  <dgm:desc val=""/>
  <dgm:catLst>
    <dgm:cat pri="1000" type="hierarchy"/>
    <dgm:cat pri="6000" type="convert"/>
  </dgm:catLst>
  <dgm:sampData>
    <dgm:dataModel>
      <dgm:ptLst>
        <dgm:pt type="doc" modelId="0"/>
        <dgm:pt modelId="1">
          <dgm:prSet phldr="true"/>
        </dgm:pt>
        <dgm:pt type="asst" modelId="2">
          <dgm:prSet phldr="true"/>
        </dgm:pt>
        <dgm:pt modelId="3">
          <dgm:prSet phldr="true"/>
        </dgm:pt>
        <dgm:pt modelId="4">
          <dgm:prSet phldr="true"/>
        </dgm:pt>
        <dgm:pt modelId="5">
          <dgm:prSet phldr="true"/>
        </dgm:pt>
      </dgm:ptLst>
      <dgm:cxnLst>
        <dgm:cxn destOrd="0" srcOrd="0" destId="1" srcId="0" modelId="5"/>
        <dgm:cxn destOrd="0" srcOrd="0" destId="2" srcId="1" modelId="6"/>
        <dgm:cxn destOrd="0" srcOrd="1" destId="3" srcId="1" modelId="7"/>
        <dgm:cxn destOrd="0" srcOrd="2" destId="4" srcId="1" modelId="8"/>
        <dgm:cxn destOrd="0" srcOrd="3" destId="5" srcId="1" modelId="9"/>
      </dgm:cxnLst>
      <dgm:bg/>
      <dgm:whole/>
    </dgm:dataModel>
  </dgm:sampData>
  <dgm:styleData>
    <dgm:dataModel>
      <dgm:ptLst>
        <dgm:pt type="doc" modelId="0"/>
        <dgm:pt modelId="1"/>
        <dgm:pt modelId="12"/>
        <dgm:pt modelId="13"/>
      </dgm:ptLst>
      <dgm:cxnLst>
        <dgm:cxn destOrd="0" srcOrd="0" destId="1" srcId="0" modelId="2"/>
        <dgm:cxn destOrd="0" srcOrd="1" destId="12" srcId="1" modelId="16"/>
        <dgm:cxn destOrd="0" srcOrd="2" destId="13" srcId="1" modelId="17"/>
      </dgm:cxnLst>
      <dgm:bg/>
      <dgm:whole/>
    </dgm:dataModel>
  </dgm:styleData>
  <dgm:clrData>
    <dgm:dataModel>
      <dgm:ptLst>
        <dgm:pt type="doc" modelId="0"/>
        <dgm:pt modelId="1"/>
        <dgm:pt type="asst" modelId="11"/>
        <dgm:pt modelId="12"/>
        <dgm:pt modelId="13"/>
        <dgm:pt modelId="14"/>
      </dgm:ptLst>
      <dgm:cxnLst>
        <dgm:cxn destOrd="0" srcOrd="0" destId="1" srcId="0" modelId="2"/>
        <dgm:cxn destOrd="0" srcOrd="0" destId="11" srcId="1" modelId="15"/>
        <dgm:cxn destOrd="0" srcOrd="1" destId="12" srcId="1" modelId="16"/>
        <dgm:cxn destOrd="0" srcOrd="2" destId="13" srcId="1" modelId="17"/>
        <dgm:cxn destOrd="0" srcOrd="2" destId="14" srcId="1" modelId="18"/>
      </dgm:cxnLst>
      <dgm:bg/>
      <dgm:whole/>
    </dgm:dataModel>
  </dgm:clrData>
  <dgm:layoutNode name="hierChild1">
    <dgm:varLst>
      <dgm:orgChart val="true"/>
      <dgm:chPref val="1"/>
      <dgm:dir/>
      <dgm:animOne val="branch"/>
      <dgm:animLvl val="lvl"/>
      <dgm:resizeHandles/>
    </dgm:varLst>
    <dgm:choose name="Name0">
      <dgm:if val="norm" op="equ" arg="dir" func="var" name="Name1">
        <dgm:alg type="hierChild">
          <dgm:param val="fromL" type="linDir"/>
        </dgm:alg>
      </dgm:if>
      <dgm:else name="Name2">
        <dgm:alg type="hierChild">
          <dgm:param val="fromR" type="linDir"/>
        </dgm:alg>
      </dgm:else>
    </dgm:choose>
    <dgm:shape r:blip="">
      <dgm:adjLst/>
    </dgm:shape>
    <dgm:presOf/>
    <dgm:constrLst>
      <dgm:constr refType="w" forName="rootComposite1" for="des" type="w" fact="10.0"/>
      <dgm:constr refForName="rootComposite1" refFor="des" refType="w" forName="rootComposite1" for="des" type="h" fact="0.5"/>
      <dgm:constr refType="w" forName="rootComposite" for="des" type="w" fact="10.0"/>
      <dgm:constr refForName="rootComposite1" refFor="des" refType="w" forName="rootComposite" for="des" type="h" fact="0.5"/>
      <dgm:constr refType="w" forName="rootComposite3" for="des" type="w" fact="10.0"/>
      <dgm:constr refForName="rootComposite1" refFor="des" refType="w" forName="rootComposite3" for="des" type="h" fact="0.5"/>
      <dgm:constr ptType="node" for="des" type="primFontSz" op="equ"/>
      <dgm:constr for="des" type="sp" op="equ"/>
      <dgm:constr refForName="rootComposite1" refFor="des" refType="w" forName="hierRoot1" for="des" type="sp" fact="0.21"/>
      <dgm:constr refForName="hierRoot1" refFor="des" refType="sp" forName="hierRoot2" for="des" type="sp"/>
      <dgm:constr refForName="hierRoot1" refFor="des" refType="sp" forName="hierRoot3" for="des" type="sp"/>
      <dgm:constr refForName="rootComposite1" refFor="des" refType="w" type="sibSp" fact="0.21"/>
      <dgm:constr refType="sibSp" forName="hierChild2" for="des" type="sibSp"/>
      <dgm:constr refType="sibSp" forName="hierChild3" for="des" type="sibSp"/>
      <dgm:constr refType="sibSp" forName="hierChild4" for="des" type="sibSp"/>
      <dgm:constr refType="sibSp" forName="hierChild5" for="des" type="sibSp"/>
      <dgm:constr refType="sibSp" forName="hierChild6" for="des" type="sibSp"/>
      <dgm:constr refType="sibSp" forName="hierChild7" for="des" type="sibSp"/>
      <dgm:constr refForName="rootComposite1" refFor="des" refType="w" type="secSibSp" fact="0.21"/>
      <dgm:constr refType="secSibSp" forName="hierChild2" for="des" type="secSibSp"/>
      <dgm:constr refType="secSibSp" forName="hierChild3" for="des" type="secSibSp"/>
      <dgm:constr refType="secSibSp" forName="hierChild4" for="des" type="secSibSp"/>
      <dgm:constr refType="secSibSp" forName="hierChild5" for="des" type="secSibSp"/>
      <dgm:constr refType="secSibSp" forName="hierChild6" for="des" type="secSibSp"/>
      <dgm:constr refType="secSibSp" forName="hierChild7" for="des" type="secSibSp"/>
    </dgm:constrLst>
    <dgm:ruleLst/>
    <dgm:forEach axis="ch" name="Name3">
      <dgm:forEach ptType="node" axis="self" name="Name4">
        <dgm:layoutNode name="hierRoot1">
          <dgm:varLst>
            <dgm:hierBranch val="init"/>
          </dgm:varLst>
          <dgm:choose name="Name5">
            <dgm:if val="l" op="equ" arg="hierBranch" func="var" name="Name6">
              <dgm:choose name="Name7">
                <dgm:if ptType="asst" axis="ch" val="1" op="gte" func="cnt" name="Name8">
                  <dgm:alg type="hierRoot">
                    <dgm:param val="tR" type="hierAlign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val="tR" type="hierAlign"/>
                  </dgm:alg>
                  <dgm:constrLst>
                    <dgm:constr type="alignOff" val="0.25"/>
                  </dgm:constrLst>
                </dgm:else>
              </dgm:choose>
            </dgm:if>
            <dgm:if val="r" op="equ" arg="hierBranch" func="var" name="Name10">
              <dgm:choose name="Name11">
                <dgm:if ptType="asst" axis="ch" val="1" op="gte" func="cnt" name="Name12">
                  <dgm:alg type="hierRoot">
                    <dgm:param val="tL" type="hierAlign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val="tL" type="hierAlign"/>
                  </dgm:alg>
                  <dgm:constrLst>
                    <dgm:constr type="alignOff" val="0.25"/>
                  </dgm:constrLst>
                </dgm:else>
              </dgm:choose>
            </dgm:if>
            <dgm:if val="hang" op="equ" arg="hierBranch" func="var" name="Name14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refType="sp" ptType="parTrans" for="des" type="bendDist" fact="0.5"/>
              </dgm:constrLst>
            </dgm:else>
          </dgm:choose>
          <dgm:shape r:blip="">
            <dgm:adjLst/>
          </dgm:shape>
          <dgm:presOf/>
          <dgm:ruleLst/>
          <dgm:layoutNode name="rootComposite1">
            <dgm:alg type="composite"/>
            <dgm:shape r:blip="">
              <dgm:adjLst/>
            </dgm:shape>
            <dgm:presOf cnt="1" ptType="node" axis="self"/>
            <dgm:choose name="Name16">
              <dgm:if val="init" op="equ" arg="hierBranch" func="var" name="Name17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forName="rootConnector1" for="ch" type="l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if val="l" op="equ" arg="hierBranch" func="var" name="Name18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refType="w" forName="rootConnector1" for="ch" type="r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if val="r" op="equ" arg="hierBranch" func="var" name="Name19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forName="rootConnector1" for="ch" type="l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if>
              <dgm:else name="Name20">
                <dgm:constrLst>
                  <dgm:constr forName="rootText1" for="ch" type="l"/>
                  <dgm:constr forName="rootText1" for="ch" type="t"/>
                  <dgm:constr refType="w" forName="rootText1" for="ch" type="w"/>
                  <dgm:constr refType="h" forName="rootText1" for="ch" type="h"/>
                  <dgm:constr refType="w" forName="rootConnector1" for="ch" type="r"/>
                  <dgm:constr forName="rootConnector1" for="ch" type="t"/>
                  <dgm:constr refForName="rootText1" refFor="ch" refType="w" forName="rootConnector1" for="ch" type="w" fact="0.2"/>
                  <dgm:constr refForName="rootText1" refFor="ch" refType="h" forName="rootConnector1" for="ch" type="h"/>
                </dgm:constrLst>
              </dgm:else>
            </dgm:choose>
            <dgm:ruleLst/>
            <dgm:layoutNode styleLbl="node0" name="rootText1">
              <dgm:varLst>
                <dgm:chPref val="3"/>
              </dgm:varLst>
              <dgm:alg type="tx"/>
              <dgm:shape r:blip="" type="rect">
                <dgm:adjLst/>
              </dgm:shape>
              <dgm:presOf cnt="1" ptType="node" axis="self"/>
              <dgm:constrLst>
                <dgm:constr type="primFontSz" val="65.0"/>
                <dgm:constr refType="primFontSz" type="lMarg" fact="0.05"/>
                <dgm:constr refType="primFontSz" type="rMarg" fact="0.05"/>
                <dgm:constr refType="primFontSz" type="tMarg" fact="0.05"/>
                <dgm:constr refType="primFontSz" type="bMarg" fact="0.05"/>
              </dgm:constrLst>
              <dgm:ruleLst>
                <dgm:rule type="primFontSz" max="NaN" fact="NaN" val="5.0"/>
              </dgm:ruleLst>
            </dgm:layoutNode>
            <dgm:layoutNode moveWith="rootText1" name="rootConnector1">
              <dgm:alg type="sp"/>
              <dgm:shape hideGeom="true" r:blip="" type="rect">
                <dgm:adjLst/>
              </dgm:shape>
              <dgm:presOf cnt="1" ptType="node" axis="self"/>
              <dgm:constrLst/>
              <dgm:ruleLst/>
            </dgm:layoutNode>
          </dgm:layoutNode>
          <dgm:layoutNode name="hierChild2">
            <dgm:choose name="Name21">
              <dgm:if val="l" op="equ" arg="hierBranch" func="var" name="Name22">
                <dgm:alg type="hierChild">
                  <dgm:param val="r" type="chAlign"/>
                  <dgm:param val="fromT" type="linDir"/>
                </dgm:alg>
              </dgm:if>
              <dgm:if val="r" op="equ" arg="hierBranch" func="var" name="Name23">
                <dgm:alg type="hierChild">
                  <dgm:param val="l" type="chAlign"/>
                  <dgm:param val="fromT" type="linDir"/>
                </dgm:alg>
              </dgm:if>
              <dgm:if val="hang" op="equ" arg="hierBranch" func="var" name="Name24">
                <dgm:choose name="Name25">
                  <dgm:if val="norm" op="equ" arg="dir" func="var" name="Name26">
                    <dgm:alg type="hierChild">
                      <dgm:param val="l" type="chAlign"/>
                      <dgm:param val="fromL" type="linDir"/>
                      <dgm:param val="t" type="secChAlign"/>
                      <dgm:param val="fromT" type="secLinDir"/>
                    </dgm:alg>
                  </dgm:if>
                  <dgm:else name="Name27">
                    <dgm:alg type="hierChild">
                      <dgm:param val="l" type="chAlign"/>
                      <dgm:param val="fromR" type="linDir"/>
                      <dgm:param val="t" type="secChAlign"/>
                      <dgm:param val="fromT" type="secLinDir"/>
                    </dgm:alg>
                  </dgm:else>
                </dgm:choose>
              </dgm:if>
              <dgm:else name="Name28">
                <dgm:choose name="Name29">
                  <dgm:if val="norm" op="equ" arg="dir" func="var" name="Name30">
                    <dgm:alg type="hierChild"/>
                  </dgm:if>
                  <dgm:else name="Name31">
                    <dgm:alg type="hierChild">
                      <dgm:param val="fromR" type="linDir"/>
                    </dgm:alg>
                  </dgm:else>
                </dgm:choose>
              </dgm:else>
            </dgm:choose>
            <dgm:shape r:blip="">
              <dgm:adjLst/>
            </dgm:shape>
            <dgm:presOf/>
            <dgm:constrLst/>
            <dgm:ruleLst/>
            <dgm:forEach ptType="nonAsst" axis="ch" name="rep2a">
              <dgm:forEach cnt="1" st="-1" ptType="parTrans" axis="precedSib" name="Name32">
                <dgm:choose name="Name33">
                  <dgm:if val="std" op="equ" arg="hierBranch" func="var" name="Name34">
                    <dgm:layoutNode name="Name35">
                      <dgm:alg type="conn">
                        <dgm:param val="bend" type="connRout"/>
                        <dgm:param val="1D" type="dim"/>
                        <dgm:param val="noArr" type="endSty"/>
                        <dgm:param val="bCtr" type="begPts"/>
                        <dgm:param val="tCtr" type="endPts"/>
                        <dgm:param val="end" type="bendPt"/>
                      </dgm:alg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val="init" op="equ" arg="hierBranch" func="var" name="Name36">
                    <dgm:layoutNode name="Name37">
                      <dgm:choose name="Name38">
                        <dgm:if axis="self" val="2" op="lte" func="depth" name="Name39">
                          <dgm:alg type="conn">
                            <dgm:param val="bend" type="connRout"/>
                            <dgm:param val="1D" type="dim"/>
                            <dgm:param val="noArr" type="endSty"/>
                            <dgm:param val="bCtr" type="begPts"/>
                            <dgm:param val="tCtr" type="endPts"/>
                            <dgm:param val="end" type="bendPt"/>
                          </dgm:alg>
                        </dgm:if>
                        <dgm:else name="Name40">
                          <dgm:choose name="Name41">
                            <dgm:if axis="par des" val="1" op="lte" func="maxDepth" name="Name42">
                              <dgm:choose name="Name43">
                                <dgm:if ptType="node asst" axis="par ch" val="1" op="gte" func="cnt" name="Name44">
                                  <dgm:alg type="conn">
                                    <dgm:param val="bend" type="connRout"/>
                                    <dgm:param val="1D" type="dim"/>
                                    <dgm:param val="noArr" type="endSty"/>
                                    <dgm:param val="bCtr" type="begPts"/>
                                    <dgm:param val="midL midR" type="endPts"/>
                                  </dgm:alg>
                                </dgm:if>
                                <dgm:else name="Name45">
                                  <dgm:alg type="conn">
                                    <dgm:param val="bend" type="connRout"/>
                                    <dgm:param val="1D" type="dim"/>
                                    <dgm:param val="noArr" type="endSty"/>
                                    <dgm:param val="bCtr" type="begPts"/>
                                    <dgm:param val="midL midR" type="endPts"/>
                                    <dgm:param val="rootConnector" type="srcNode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tCtr" type="endPts"/>
                                <dgm:param val="end" type="bendPt"/>
                              </dgm:alg>
                            </dgm:else>
                          </dgm:choose>
                        </dgm:else>
                      </dgm:choose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val="hang" op="equ" arg="hierBranch" func="var" name="Name47">
                    <dgm:layoutNode name="Name48">
                      <dgm:alg type="conn">
                        <dgm:param val="bend" type="connRout"/>
                        <dgm:param val="1D" type="dim"/>
                        <dgm:param val="noArr" type="endSty"/>
                        <dgm:param val="bCtr" type="begPts"/>
                        <dgm:param val="midL midR" type="endPts"/>
                      </dgm:alg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axis="self" val="2" op="lte" func="depth" name="Name52">
                          <dgm:choose name="Name53">
                            <dgm:if ptType="node asst" axis="par ch" val="1" op="gte" func="cnt" name="Name54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</dgm:alg>
                            </dgm:if>
                            <dgm:else name="Name55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  <dgm:param val="rootConnector1" type="srcNode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ptType="node asst" axis="par ch" val="1" op="gte" func="cnt" name="Name58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</dgm:alg>
                            </dgm:if>
                            <dgm:else name="Name59">
                              <dgm:alg type="conn">
                                <dgm:param val="bend" type="connRout"/>
                                <dgm:param val="1D" type="dim"/>
                                <dgm:param val="noArr" type="endSty"/>
                                <dgm:param val="bCtr" type="begPts"/>
                                <dgm:param val="midL midR" type="endPts"/>
                                <dgm:param val="rootConnector" type="srcNode"/>
                              </dgm:alg>
                            </dgm:else>
                          </dgm:choose>
                        </dgm:else>
                      </dgm:choose>
                      <dgm:shape zOrderOff="-99999" r:blip="" type="conn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val="l" op="equ" arg="hierBranch" func="var" name="Name61">
                    <dgm:choose name="Name62">
                      <dgm:if ptType="asst" axis="ch" val="1" op="gte" func="cnt" name="Name63">
                        <dgm:alg type="hierRoot">
                          <dgm:param val="tR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val="tR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val="r" op="equ" arg="hierBranch" func="var" name="Name65">
                    <dgm:choose name="Name66">
                      <dgm:if ptType="asst" axis="ch" val="1" op="gte" func="cnt" name="Name67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val="std" op="equ" arg="hierBranch" func="var" name="Name69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/>
                      <dgm:constr refType="sp" ptType="parTrans" for="des" type="bendDist" fact="0.5"/>
                    </dgm:constrLst>
                  </dgm:if>
                  <dgm:if val="init" op="equ" arg="hierBranch" func="var" name="Name70">
                    <dgm:choose name="Name71">
                      <dgm:if axis="des" val="1" op="lte" func="maxDepth" name="Name72">
                        <dgm:choose name="Name73">
                          <dgm:if ptType="asst" axis="ch" val="1" op="gte" func="cnt" name="Name74">
                            <dgm:alg type="hierRoot">
                              <dgm:param val="tL" type="hierAlign"/>
                            </dgm:alg>
                            <dgm:shape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val="tL" type="hierAlign"/>
                            </dgm:alg>
                            <dgm:shape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r:blip="">
                          <dgm:adjLst/>
                        </dgm:shape>
                        <dgm:presOf/>
                        <dgm:constrLst>
                          <dgm:constr type="alignOff"/>
                          <dgm:constr refType="sp" ptType="parTrans" for="des" type="bendDist" fact="0.5"/>
                        </dgm:constrLst>
                      </dgm:else>
                    </dgm:choose>
                  </dgm:if>
                  <dgm:else name="Name77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r:blip="">
                    <dgm:adjLst/>
                  </dgm:shape>
                  <dgm:presOf cnt="1" ptType="node" axis="self"/>
                  <dgm:choose name="Name78">
                    <dgm:if val="init" op="equ" arg="hierBranch" func="var" name="Name79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forName="rootConnector" for="ch" type="l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if val="l" op="equ" arg="hierBranch" func="var" name="Name80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refType="w" forName="rootConnector" for="ch" type="r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if val="r" op="equ" arg="hierBranch" func="var" name="Name81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forName="rootConnector" for="ch" type="l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if>
                    <dgm:else name="Name82">
                      <dgm:constrLst>
                        <dgm:constr forName="rootText" for="ch" type="l"/>
                        <dgm:constr forName="rootText" for="ch" type="t"/>
                        <dgm:constr refType="w" forName="rootText" for="ch" type="w"/>
                        <dgm:constr refType="h" forName="rootText" for="ch" type="h"/>
                        <dgm:constr refType="w" forName="rootConnector" for="ch" type="r"/>
                        <dgm:constr forName="rootConnector" for="ch" type="t"/>
                        <dgm:constr refForName="rootText" refFor="ch" refType="w" forName="rootConnector" for="ch" type="w" fact="0.2"/>
                        <dgm:constr refForName="rootText" refFor="ch" refType="h" forName="rootConnector" for="ch" type="h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r:blip="" type="rect">
                      <dgm:adjLst/>
                    </dgm:shape>
                    <dgm:presOf cnt="1" ptType="node" axis="self"/>
                    <dgm:constrLst>
                      <dgm:constr type="primFontSz" val="65.0"/>
                      <dgm:constr refType="primFontSz" type="lMarg" fact="0.05"/>
                      <dgm:constr refType="primFontSz" type="rMarg" fact="0.05"/>
                      <dgm:constr refType="primFontSz" type="tMarg" fact="0.05"/>
                      <dgm:constr refType="primFontSz" type="bMarg" fact="0.05"/>
                    </dgm:constrLst>
                    <dgm:ruleLst>
                      <dgm:rule type="primFontSz" max="NaN" fact="NaN" val="5.0"/>
                    </dgm:ruleLst>
                  </dgm:layoutNode>
                  <dgm:layoutNode moveWith="rootText" name="rootConnector">
                    <dgm:alg type="sp"/>
                    <dgm:shape hideGeom="true" r:blip="" type="rect">
                      <dgm:adjLst/>
                    </dgm:shape>
                    <dgm:presOf cnt="1" ptType="node" axis="self"/>
                    <dgm:constrLst/>
                    <dgm:ruleLst/>
                  </dgm:layoutNode>
                </dgm:layoutNode>
                <dgm:layoutNode name="hierChild4">
                  <dgm:choose name="Name83">
                    <dgm:if val="l" op="equ" arg="hierBranch" func="var" name="Name84">
                      <dgm:alg type="hierChild">
                        <dgm:param val="r" type="chAlign"/>
                        <dgm:param val="fromT" type="linDir"/>
                      </dgm:alg>
                    </dgm:if>
                    <dgm:if val="r" op="equ" arg="hierBranch" func="var" name="Name85">
                      <dgm:alg type="hierChild">
                        <dgm:param val="l" type="chAlign"/>
                        <dgm:param val="fromT" type="linDir"/>
                      </dgm:alg>
                    </dgm:if>
                    <dgm:if val="hang" op="equ" arg="hierBranch" func="var" name="Name86">
                      <dgm:choose name="Name87">
                        <dgm:if val="norm" op="equ" arg="dir" func="var" name="Name88">
                          <dgm:alg type="hierChild">
                            <dgm:param val="l" type="chAlign"/>
                            <dgm:param val="fromL" type="linDir"/>
                            <dgm:param val="t" type="secChAlign"/>
                            <dgm:param val="fromT" type="secLinDir"/>
                          </dgm:alg>
                        </dgm:if>
                        <dgm:else name="Name89">
                          <dgm:alg type="hierChild">
                            <dgm:param val="l" type="chAlign"/>
                            <dgm:param val="fromR" type="linDir"/>
                            <dgm:param val="t" type="secChAlign"/>
                            <dgm:param val="fromT" type="secLinDir"/>
                          </dgm:alg>
                        </dgm:else>
                      </dgm:choose>
                    </dgm:if>
                    <dgm:if val="std" op="equ" arg="hierBranch" func="var" name="Name90">
                      <dgm:choose name="Name91">
                        <dgm:if val="norm" op="equ" arg="dir" func="var" name="Name92">
                          <dgm:alg type="hierChild"/>
                        </dgm:if>
                        <dgm:else name="Name93">
                          <dgm:alg type="hierChild">
                            <dgm:param val="fromR" type="linDir"/>
                          </dgm:alg>
                        </dgm:else>
                      </dgm:choose>
                    </dgm:if>
                    <dgm:if val="init" op="equ" arg="hierBranch" func="var" name="Name94">
                      <dgm:choose name="Name95">
                        <dgm:if axis="des" val="1" op="lte" func="maxDepth" name="Name96">
                          <dgm:alg type="hierChild">
                            <dgm:param val="l" type="chAlign"/>
                            <dgm:param val="fromT" type="linDir"/>
                          </dgm:alg>
                        </dgm:if>
                        <dgm:else name="Name97">
                          <dgm:choose name="Name98">
                            <dgm:if val="norm" op="equ" arg="dir" func="var" name="Name99">
                              <dgm:alg type="hierChild"/>
                            </dgm:if>
                            <dgm:else name="Name100">
                              <dgm:alg type="hierChild">
                                <dgm:param val="fromR" type="linDi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r:blip="">
                    <dgm:adjLst/>
                  </dgm:shape>
                  <dgm:presOf/>
                  <dgm:constrLst/>
                  <dgm:ruleLst/>
                  <dgm:forEach ref="rep2a" name="Name102"/>
                </dgm:layoutNode>
                <dgm:layoutNode name="hierChild5">
                  <dgm:choose name="Name103">
                    <dgm:if val="norm" op="equ" arg="dir" func="var" name="Name104">
                      <dgm:alg type="hierChild">
                        <dgm:param val="l" type="chAlign"/>
                        <dgm:param val="fromL" type="linDir"/>
                        <dgm:param val="t" type="secChAlign"/>
                        <dgm:param val="fromT" type="secLinDir"/>
                      </dgm:alg>
                    </dgm:if>
                    <dgm:else name="Name105">
                      <dgm:alg type="hierChild">
                        <dgm:param val="l" type="chAlign"/>
                        <dgm:param val="fromR" type="linDir"/>
                        <dgm:param val="t" type="secChAlign"/>
                        <dgm:param val="fromT" type="secLinDir"/>
                      </dgm:alg>
                    </dgm:else>
                  </dgm:choose>
                  <dgm:shape r:blip="">
                    <dgm:adjLst/>
                  </dgm:shape>
                  <dgm:presOf/>
                  <dgm:constrLst/>
                  <dgm:ruleLst/>
                  <dgm:forEach ref="rep2b" name="Name106"/>
                </dgm:layoutNode>
              </dgm:layoutNode>
            </dgm:forEach>
          </dgm:layoutNode>
          <dgm:layoutNode name="hierChild3">
            <dgm:choose name="Name107">
              <dgm:if val="norm" op="equ" arg="dir" func="var" name="Name108">
                <dgm:alg type="hierChild">
                  <dgm:param val="l" type="chAlign"/>
                  <dgm:param val="fromL" type="linDir"/>
                  <dgm:param val="t" type="secChAlign"/>
                  <dgm:param val="fromT" type="secLinDir"/>
                </dgm:alg>
              </dgm:if>
              <dgm:else name="Name109">
                <dgm:alg type="hierChild">
                  <dgm:param val="l" type="chAlign"/>
                  <dgm:param val="fromR" type="linDir"/>
                  <dgm:param val="t" type="secChAlign"/>
                  <dgm:param val="fromT" type="secLinDir"/>
                </dgm:alg>
              </dgm:else>
            </dgm:choose>
            <dgm:shape r:blip="">
              <dgm:adjLst/>
            </dgm:shape>
            <dgm:presOf/>
            <dgm:constrLst/>
            <dgm:ruleLst/>
            <dgm:forEach ptType="asst" axis="ch" name="rep2b">
              <dgm:forEach cnt="1" st="-1" ptType="parTrans" axis="precedSib" name="Name110">
                <dgm:layoutNode name="Name111">
                  <dgm:alg type="conn">
                    <dgm:param val="bend" type="connRout"/>
                    <dgm:param val="1D" type="dim"/>
                    <dgm:param val="noArr" type="endSty"/>
                    <dgm:param val="bCtr" type="begPts"/>
                    <dgm:param val="midL midR" type="endPts"/>
                  </dgm:alg>
                  <dgm:shape zOrderOff="-99999" r:blip="" type="conn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val="l" op="equ" arg="hierBranch" func="var" name="Name113">
                    <dgm:alg type="hierRoot">
                      <dgm:param val="tR" type="hierAlign"/>
                    </dgm:alg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r" op="equ" arg="hierBranch" func="var" name="Name114">
                    <dgm:alg type="hierRoot">
                      <dgm:param val="tL" type="hierAlign"/>
                    </dgm:alg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hang" op="equ" arg="hierBranch" func="var" name="Name115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val="std" op="equ" arg="hierBranch" func="var" name="Name116">
                    <dgm:alg type="hierRoot"/>
                    <dgm:shape r:blip="">
                      <dgm:adjLst/>
                    </dgm:shape>
                    <dgm:presOf/>
                    <dgm:constrLst>
                      <dgm:constr type="alignOff"/>
                      <dgm:constr refType="sp" ptType="parTrans" for="des" type="bendDist" fact="0.5"/>
                    </dgm:constrLst>
                  </dgm:if>
                  <dgm:if val="init" op="equ" arg="hierBranch" func="var" name="Name117">
                    <dgm:choose name="Name118">
                      <dgm:if axis="des" val="1" op="lte" func="maxDepth" name="Name119">
                        <dgm:alg type="hierRoot">
                          <dgm:param val="tL" type="hierAlign"/>
                        </dgm:alg>
                        <dgm:shape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r:blip="">
                          <dgm:adjLst/>
                        </dgm:shape>
                        <dgm:presOf/>
                        <dgm:constrLst>
                          <dgm:constr type="alignOff"/>
                          <dgm:constr refType="sp" ptType="parTrans" for="des" type="bendDist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r:blip="">
                    <dgm:adjLst/>
                  </dgm:shape>
                  <dgm:presOf cnt="1" ptType="node" axis="self"/>
                  <dgm:choose name="Name122">
                    <dgm:if val="init" op="equ" arg="hierBranch" func="var" name="Name123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forName="rootConnector3" for="ch" type="l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if val="l" op="equ" arg="hierBranch" func="var" name="Name124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refType="w" forName="rootConnector3" for="ch" type="r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if val="r" op="equ" arg="hierBranch" func="var" name="Name125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forName="rootConnector3" for="ch" type="l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if>
                    <dgm:else name="Name126">
                      <dgm:constrLst>
                        <dgm:constr forName="rootText3" for="ch" type="l"/>
                        <dgm:constr forName="rootText3" for="ch" type="t"/>
                        <dgm:constr refType="w" forName="rootText3" for="ch" type="w"/>
                        <dgm:constr refType="h" forName="rootText3" for="ch" type="h"/>
                        <dgm:constr refType="w" forName="rootConnector3" for="ch" type="r"/>
                        <dgm:constr forName="rootConnector3" for="ch" type="t"/>
                        <dgm:constr refForName="rootText3" refFor="ch" refType="w" forName="rootConnector3" for="ch" type="w" fact="0.2"/>
                        <dgm:constr refForName="rootText3" refFor="ch" refType="h" forName="rootConnector3" for="ch" type="h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r:blip="" type="rect">
                      <dgm:adjLst/>
                    </dgm:shape>
                    <dgm:presOf cnt="1" ptType="node" axis="self"/>
                    <dgm:constrLst>
                      <dgm:constr type="primFontSz" val="65.0"/>
                      <dgm:constr refType="primFontSz" type="lMarg" fact="0.05"/>
                      <dgm:constr refType="primFontSz" type="rMarg" fact="0.05"/>
                      <dgm:constr refType="primFontSz" type="tMarg" fact="0.05"/>
                      <dgm:constr refType="primFontSz" type="bMarg" fact="0.05"/>
                    </dgm:constrLst>
                    <dgm:ruleLst>
                      <dgm:rule type="primFontSz" max="NaN" fact="NaN" val="5.0"/>
                    </dgm:ruleLst>
                  </dgm:layoutNode>
                  <dgm:layoutNode moveWith="rootText1" name="rootConnector3">
                    <dgm:alg type="sp"/>
                    <dgm:shape hideGeom="true" r:blip="" type="rect">
                      <dgm:adjLst/>
                    </dgm:shape>
                    <dgm:presOf cnt="1" ptType="node" axis="self"/>
                    <dgm:constrLst/>
                    <dgm:ruleLst/>
                  </dgm:layoutNode>
                </dgm:layoutNode>
                <dgm:layoutNode name="hierChild6">
                  <dgm:choose name="Name127">
                    <dgm:if val="l" op="equ" arg="hierBranch" func="var" name="Name128">
                      <dgm:alg type="hierChild">
                        <dgm:param val="r" type="chAlign"/>
                        <dgm:param val="fromT" type="linDir"/>
                      </dgm:alg>
                    </dgm:if>
                    <dgm:if val="r" op="equ" arg="hierBranch" func="var" name="Name129">
                      <dgm:alg type="hierChild">
                        <dgm:param val="l" type="chAlign"/>
                        <dgm:param val="fromT" type="linDir"/>
                      </dgm:alg>
                    </dgm:if>
                    <dgm:if val="hang" op="equ" arg="hierBranch" func="var" name="Name130">
                      <dgm:choose name="Name131">
                        <dgm:if val="norm" op="equ" arg="dir" func="var" name="Name132">
                          <dgm:alg type="hierChild">
                            <dgm:param val="l" type="chAlign"/>
                            <dgm:param val="fromL" type="linDir"/>
                            <dgm:param val="t" type="secChAlign"/>
                            <dgm:param val="fromT" type="secLinDir"/>
                          </dgm:alg>
                        </dgm:if>
                        <dgm:else name="Name133">
                          <dgm:alg type="hierChild">
                            <dgm:param val="l" type="chAlign"/>
                            <dgm:param val="fromR" type="linDir"/>
                            <dgm:param val="t" type="secChAlign"/>
                            <dgm:param val="fromT" type="secLinDir"/>
                          </dgm:alg>
                        </dgm:else>
                      </dgm:choose>
                    </dgm:if>
                    <dgm:if val="std" op="equ" arg="hierBranch" func="var" name="Name134">
                      <dgm:choose name="Name135">
                        <dgm:if val="norm" op="equ" arg="dir" func="var" name="Name136">
                          <dgm:alg type="hierChild"/>
                        </dgm:if>
                        <dgm:else name="Name137">
                          <dgm:alg type="hierChild">
                            <dgm:param val="fromR" type="linDir"/>
                          </dgm:alg>
                        </dgm:else>
                      </dgm:choose>
                    </dgm:if>
                    <dgm:if val="init" op="equ" arg="hierBranch" func="var" name="Name138">
                      <dgm:choose name="Name139">
                        <dgm:if axis="des" val="1" op="lte" func="maxDepth" name="Name140">
                          <dgm:alg type="hierChild">
                            <dgm:param val="l" type="chAlign"/>
                            <dgm:param val="fromT" type="linDir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r:blip="">
                    <dgm:adjLst/>
                  </dgm:shape>
                  <dgm:presOf/>
                  <dgm:constrLst/>
                  <dgm:ruleLst/>
                  <dgm:forEach ref="rep2a" name="Name143"/>
                </dgm:layoutNode>
                <dgm:layoutNode name="hierChild7">
                  <dgm:choose name="Name144">
                    <dgm:if val="norm" op="equ" arg="dir" func="var" name="Name145">
                      <dgm:alg type="hierChild">
                        <dgm:param val="l" type="chAlign"/>
                        <dgm:param val="fromL" type="linDir"/>
                        <dgm:param val="t" type="secChAlign"/>
                        <dgm:param val="fromT" type="secLinDir"/>
                      </dgm:alg>
                    </dgm:if>
                    <dgm:else name="Name146">
                      <dgm:alg type="hierChild">
                        <dgm:param val="l" type="chAlign"/>
                        <dgm:param val="fromR" type="linDir"/>
                        <dgm:param val="t" type="secChAlign"/>
                        <dgm:param val="fromT" type="secLinDir"/>
                      </dgm:alg>
                    </dgm:else>
                  </dgm:choose>
                  <dgm:shape r:blip="">
                    <dgm:adjLst/>
                  </dgm:shape>
                  <dgm:presOf/>
                  <dgm:constrLst/>
                  <dgm:ruleLst/>
                  <dgm:forEach ref="rep2b" name="Name147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quickstyle/simple4">
  <dgm:title val=""/>
  <dgm:desc val=""/>
  <dgm:catLst>
    <dgm:cat pri="10400" type="simple"/>
  </dgm:catLst>
  <dgm:scene3d>
    <a:camera prst="orthographicFront"/>
    <a:lightRig dir="t" rig="threePt"/>
  </dgm:scene3d>
  <dgm:styleLbl name="node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ln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venn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0">
        <a:scrgbClr b="0" g="0" r="0"/>
      </a:effectRef>
      <a:fontRef idx="minor">
        <a:schemeClr val="tx1"/>
      </a:fontRef>
    </dgm:style>
  </dgm:styleLbl>
  <dgm:styleLbl name="align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node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node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node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node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f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align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bgImgPlace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f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b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sib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callout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1">
        <a:scrgbClr b="0" g="0" r="0"/>
      </a:effectRef>
      <a:fontRef idx="minor"/>
    </dgm:style>
  </dgm:styleLbl>
  <dgm:styleLbl name="asst0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asst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asst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asst3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asst4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parCh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parChTrans2D2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parChTrans2D3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parChTrans2D4">
    <dgm:scene3d>
      <a:camera prst="orthographicFront"/>
      <a:lightRig dir="t" rig="threePt"/>
    </dgm:scene3d>
    <dgm:sp3d/>
    <dgm:txPr/>
    <dgm:style>
      <a:lnRef idx="1">
        <a:scrgbClr b="0" g="0" r="0"/>
      </a:lnRef>
      <a:fillRef idx="3">
        <a:scrgbClr b="0" g="0" r="0"/>
      </a:fillRef>
      <a:effectRef idx="2">
        <a:scrgbClr b="0" g="0" r="0"/>
      </a:effectRef>
      <a:fontRef idx="minor">
        <a:schemeClr val="lt1"/>
      </a:fontRef>
    </dgm:style>
  </dgm:styleLbl>
  <dgm:styleLbl name="parCh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2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3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4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con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tr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F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Bg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FollowNode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0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2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3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4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dk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2">
        <a:scrgbClr b="0" g="0" r="0"/>
      </a:effectRef>
      <a:fontRef idx="minor"/>
    </dgm:style>
  </dgm:styleLbl>
  <dgm:styleLbl name="tr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3">
        <a:scrgbClr b="0" g="0" r="0"/>
      </a:fillRef>
      <a:effectRef idx="2">
        <a:scrgbClr b="0" g="0" r="0"/>
      </a:effectRef>
      <a:fontRef idx="minor"/>
    </dgm:style>
  </dgm:styleLbl>
  <dgm:styleLbl name="revTx">
    <dgm:scene3d>
      <a:camera prst="orthographicFront"/>
      <a:lightRig dir="t" rig="threePt"/>
    </dgm:scene3d>
    <dgm:sp3d/>
    <dgm:txPr/>
    <dgm:style>
      <a:lnRef idx="0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</dgm:styleDef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2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3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4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5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word/theme/themeOverride6.xml><?xml version="1.0" encoding="utf-8"?>
<a:themeOverrid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a:clrScheme name="Office">
    <a:dk1>
      <a:sysClr lastClr="000000" val="windowText"/>
    </a:dk1>
    <a:lt1>
      <a:sysClr lastClr="FFFFFF" val="window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typeface="ＭＳ ゴシック" script="Jpan"/>
      <a:font typeface="맑은 고딕" script="Hang"/>
      <a:font typeface="宋体" script="Hans"/>
      <a:font typeface="新細明體" script="Hant"/>
      <a:font typeface="Times New Roman" script="Arab"/>
      <a:font typeface="Times New Roman" script="Hebr"/>
      <a:font typeface="Angsana New" script="Thai"/>
      <a:font typeface="Nyala" script="Ethi"/>
      <a:font typeface="Vrinda" script="Beng"/>
      <a:font typeface="Shruti" script="Gujr"/>
      <a:font typeface="MoolBoran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Times New Roman" script="Viet"/>
      <a:font typeface="Microsoft Uighur" script="Uigh"/>
    </a:majorFont>
    <a:minorFont>
      <a:latin typeface="Calibri"/>
      <a:ea typeface=""/>
      <a:cs typeface=""/>
      <a:font typeface="ＭＳ 明朝" script="Jpan"/>
      <a:font typeface="맑은 고딕" script="Hang"/>
      <a:font typeface="宋体" script="Hans"/>
      <a:font typeface="新細明體" script="Hant"/>
      <a:font typeface="Arial" script="Arab"/>
      <a:font typeface="Arial" script="Hebr"/>
      <a:font typeface="Cordia New" script="Thai"/>
      <a:font typeface="Nyala" script="Ethi"/>
      <a:font typeface="Vrinda" script="Beng"/>
      <a:font typeface="Shruti" script="Gujr"/>
      <a:font typeface="DaunPenh" script="Khmr"/>
      <a:font typeface="Tunga" script="Knda"/>
      <a:font typeface="Raavi" script="Guru"/>
      <a:font typeface="Euphemia" script="Cans"/>
      <a:font typeface="Plantagenet Cherokee" script="Cher"/>
      <a:font typeface="Microsoft Yi Baiti" script="Yiii"/>
      <a:font typeface="Microsoft Himalaya" script="Tibt"/>
      <a:font typeface="MV Boli" script="Thaa"/>
      <a:font typeface="Mangal" script="Deva"/>
      <a:font typeface="Gautami" script="Telu"/>
      <a:font typeface="Latha" script="Taml"/>
      <a:font typeface="Estrangelo Edessa" script="Syrc"/>
      <a:font typeface="Kalinga" script="Orya"/>
      <a:font typeface="Kartika" script="Mlym"/>
      <a:font typeface="DokChampa" script="Laoo"/>
      <a:font typeface="Iskoola Pota" script="Sinh"/>
      <a:font typeface="Mongolian Baiti" script="Mong"/>
      <a:font typeface="Arial" script="Viet"/>
      <a:font typeface="Microsoft Uighur" script="Uigh"/>
    </a:minorFont>
  </a:fontScheme>
  <a:fmtScheme name="Office">
    <a:fillStyleLst>
      <a:solidFill>
        <a:schemeClr val="phClr"/>
      </a:solidFill>
      <a:gradFill rotWithShape="true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scaled="true" ang="16200000"/>
      </a:gradFill>
      <a:gradFill rotWithShape="true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scaled="false" ang="16200000"/>
      </a:gradFill>
    </a:fillStyleLst>
    <a:lnStyleLst>
      <a:ln algn="ctr" cmpd="sng" cap="flat" w="9525">
        <a:solidFill>
          <a:schemeClr val="phClr">
            <a:shade val="95000"/>
            <a:satMod val="105000"/>
          </a:schemeClr>
        </a:solidFill>
        <a:prstDash val="solid"/>
      </a:ln>
      <a:ln algn="ctr" cmpd="sng" cap="flat" w="25400">
        <a:solidFill>
          <a:schemeClr val="phClr"/>
        </a:solidFill>
        <a:prstDash val="solid"/>
      </a:ln>
      <a:ln algn="ctr" cmpd="sng" cap="flat" w="38100">
        <a:solidFill>
          <a:schemeClr val="phClr"/>
        </a:solidFill>
        <a:prstDash val="solid"/>
      </a:ln>
    </a:lnStyleLst>
    <a:effectStyleLst>
      <a:effectStyle>
        <a:effectLst>
          <a:outerShdw rotWithShape="false" dir="5400000" dist="20000" blurRad="40000">
            <a:srgbClr val="000000">
              <a:alpha val="38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</a:effectStyle>
      <a:effectStyle>
        <a:effectLst>
          <a:outerShdw rotWithShape="false" dir="5400000" dist="23000" blurRad="40000">
            <a:srgbClr val="000000">
              <a:alpha val="35000"/>
            </a:srgbClr>
          </a:outerShdw>
        </a:effectLst>
        <a:scene3d>
          <a:camera prst="orthographicFront">
            <a:rot rev="0" lon="0" lat="0"/>
          </a:camera>
          <a:lightRig dir="t" rig="threePt">
            <a:rot rev="1200000" lon="0" lat="0"/>
          </a:lightRig>
        </a:scene3d>
        <a:sp3d>
          <a:bevelT h="25400" w="63500"/>
        </a:sp3d>
      </a:effectStyle>
    </a:effectStyleLst>
    <a:bgFillStyleLst>
      <a:solidFill>
        <a:schemeClr val="phClr"/>
      </a:solidFill>
      <a:gradFill rotWithShape="true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b="180000" r="50000" t="-80000" l="50000"/>
        </a:path>
      </a:gradFill>
      <a:gradFill rotWithShape="true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b="50000" r="50000" t="50000" l="50000"/>
        </a:path>
      </a:gradFill>
    </a:bgFillStyleLst>
  </a:fmtScheme>
</a:themeOverrid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St-1339/2016-6</izvorni_sadrzaj>
    <derivirana_varijabla naziv="DomainObject.Oznaka_1">St-1339/2016-6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St-1339/2016-6</izvorni_sadrzaj>
    <derivirana_varijabla naziv="DomainObject.PoslovniBrojDokumenta_1">St-1339/2016-6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</izvorni_sadrzaj>
    <derivirana_varijabla naziv="DomainObject.Predmet.SudioniciListNaziv_1">
      <item>VOĆNJAK društvo s ograničenom odgovornošću za proizvodnju i usluge</item>
      <item>Pavao Mrkonjić, odvjetnik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A674C-751E-4F63-A8EC-C0BF8D86D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53</properties:Pages>
  <properties:Words>7519</properties:Words>
  <properties:Characters>46128</properties:Characters>
  <properties:Lines>3020</properties:Lines>
  <properties:Paragraphs>1917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2016-09-01T09:35:00Z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53</vt:i4>
  </prop:property>
  <prop:property name="Naslov" pid="5" fmtid="{D5CDD505-2E9C-101B-9397-08002B2CF9AE}">
    <vt:lpwstr>St-1339/2016-6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20943214</vt:lpwstr>
  </prop:property>
</prop:Properties>
</file>