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6dfd" w14:paraId="6ce6dfd" w:rsidRDefault="009676F0" w:rsidP="009676F0" w:rsidR="009676F0" w:rsidRPr="009676F0">
      <w:pPr>
        <w:spacing w:lineRule="auto" w:line="240" w:after="0"/>
        <w15:collapsed w:val="false"/>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 xml:space="preserve">AGROMAR d.o.o. u stečaju </w:t>
      </w: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Virovitica, Matije Gupca 254</w:t>
      </w: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OIB: 10902606149</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Poziv na broj: St-1/2018</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Osijek, 12. veljače 2019.</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b/>
          <w:sz w:val="24"/>
          <w:szCs w:val="24"/>
          <w:lang w:eastAsia="hr-HR"/>
        </w:rPr>
        <w:t>TRGOVAČKI SUD U BJELOVARU</w:t>
      </w: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b/>
          <w:sz w:val="24"/>
          <w:szCs w:val="24"/>
          <w:lang w:eastAsia="hr-HR"/>
        </w:rPr>
        <w:tab/>
      </w:r>
      <w:r w:rsidRPr="009676F0">
        <w:rPr>
          <w:rFonts w:cs="Calibri" w:eastAsia="Times New Roman" w:hAnsi="Calibri" w:ascii="Calibri"/>
          <w:b/>
          <w:sz w:val="24"/>
          <w:szCs w:val="24"/>
          <w:lang w:eastAsia="hr-HR"/>
        </w:rPr>
        <w:tab/>
      </w:r>
      <w:r w:rsidRPr="009676F0">
        <w:rPr>
          <w:rFonts w:cs="Calibri" w:eastAsia="Times New Roman" w:hAnsi="Calibri" w:ascii="Calibri"/>
          <w:b/>
          <w:sz w:val="24"/>
          <w:szCs w:val="24"/>
          <w:lang w:eastAsia="hr-HR"/>
        </w:rPr>
        <w:tab/>
      </w:r>
      <w:r w:rsidRPr="009676F0">
        <w:rPr>
          <w:rFonts w:cs="Calibri" w:eastAsia="Times New Roman" w:hAnsi="Calibri" w:ascii="Calibri"/>
          <w:b/>
          <w:sz w:val="24"/>
          <w:szCs w:val="24"/>
          <w:lang w:eastAsia="hr-HR"/>
        </w:rPr>
        <w:tab/>
      </w:r>
      <w:r w:rsidRPr="009676F0">
        <w:rPr>
          <w:rFonts w:cs="Calibri" w:eastAsia="Times New Roman" w:hAnsi="Calibri" w:ascii="Calibri"/>
          <w:b/>
          <w:sz w:val="24"/>
          <w:szCs w:val="24"/>
          <w:lang w:eastAsia="hr-HR"/>
        </w:rPr>
        <w:tab/>
      </w:r>
      <w:r w:rsidRPr="009676F0">
        <w:rPr>
          <w:rFonts w:cs="Calibri" w:eastAsia="Times New Roman" w:hAnsi="Calibri" w:ascii="Calibri"/>
          <w:b/>
          <w:sz w:val="24"/>
          <w:szCs w:val="24"/>
          <w:lang w:eastAsia="hr-HR"/>
        </w:rPr>
        <w:tab/>
      </w:r>
      <w:r w:rsidRPr="009676F0">
        <w:rPr>
          <w:rFonts w:cs="Calibri" w:eastAsia="Times New Roman" w:hAnsi="Calibri" w:ascii="Calibri"/>
          <w:sz w:val="24"/>
          <w:szCs w:val="24"/>
          <w:lang w:eastAsia="hr-HR"/>
        </w:rPr>
        <w:t>STEČAJNOM SUCU</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jc w:val="center"/>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IZVJEŠĆE STEČAJNOG UPRAVITELJA O GOSPODARSKOM POLOŽAJU STEČAJNOG DUŽNIKA POVODOM IZVJEŠTAJNOG ROČIŠTA</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1. UVODNI DIO</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Financijska agencija je na temelju čl.110. st.1. SZ 4. siječnja 2018. podnijela prijedlog za otvaranje stečajnog postupka nad dužnikom AGROMAR d.o.o. za usluge, Virovitica, Matije Gupca 254.</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U prijedlogu je navela da na dan 2. siječnja 2018. dužnik u Očevidniku redoslijeda osnova za plaćanje ima evidentirane neizvršene osnove za plaćanje u neprekinutom razdoblju od 120 dana, u ukupnom iznosu od 19.616.407,01 kn. Iz prijedloga proizlazi da je Fina na temelju čl.112. st.5. SZ-a, 2. siječnja 2018., na ime predujma za namirenje troškova stečajnog postupka, zaplijenila novčana sredstva u iznosu od 5.000,00 kn.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Rješenjem od 26. ožujka 2018. sud je pokrenuo prethodni postupak radi utvrđivanja pretpostavki za otvaranje stečajnog postupka, kojim sam imenovan privremenim stečajnim upraviteljem te mi je naloženo provesti potrebne radnje radi ispitivanja postoji li imovina dužnika i mogu li se tom imovinom namiriti troškovi stečajnog postupka (čl.119. st.2. i 5. SZ-a). Sazvano je ročište radi izjašnjenja o prijedlogu i rasprave o uvjetima za otvaranje stečajnog postupka za dan 27. travnja 2018.</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Kao privremeni stečajni upravitelj podnio sam 18. travnja 2018. sudu pisano izvješće (list 10-12), iz kojeg proizlazi da se dužnik na dan 16. travnja 2018. nalazi u neprekidnoj blokadi više od 220 dana te je ispunjen stečajni razlog nesposobnosti za plaćanje.</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U poslovnim knjigama dužnika nema evidentiranih nekretnina, pokretnina (cestovnih motornih vozila) i potraživanja prema kupcima.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Na ročištu 27. travnja 2018. zakonska zastupnica dužnika Tatjana Burazin je navela da su podaci iz izvješća privremenog stečajnog upravitelja točni.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lastRenderedPageBreak/>
        <w:t>Podneskom od 7. rujna 2018. privremeni stečajni upravitelj je dao procjenu predvidivih troškova stečajnog postupka za razdoblje od 12 mjeseci u iznosu od ukupno 16.000,00 kn.</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Temeljem izvješća privremenog stečajnog upravitelja i navoda zakonske zastupnice dužnika sud je utvrdio da dužnik ne raspolaže imovinom koja bi bila dovoljna za namirenje troškova prethodnog i stečajnog postupka te su ispunjeni uvjeti za otvaranje i zaključenje stečajnog postupka. Stoga je sud sukladno odredbi čl.132. st.1. SZ-a, rješenjem od 25. rujna 2018., pozvao osobe koje imaju interes za provedbom stečajnog postupka nad dužnikom da u roku od 15 dana uplate predujam za namirenje troškova stečajnog postupka u iznosu od 18.500,00 kn.</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11. listopada 2018. Glumina banka d.d. u stečaju uplatila je iznos od 18.500,00 kn.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Na temelju navoda iz prijedloga Financijske agencije, da je u očevidniku redoslijeda osnova za plaćanje koje vodi ta agencija na dan 2. siječnja 2018. dužnik u Očevidniku redoslijeda osnova za plaćanje imao evidentirane neizvršene osnove za plaćanje u neprekinutom razdoblju od 120 dana, u ukupnom iznosu od 19.616.407,01 kn, kao i navoda  zakonske zastupnice dužnika i  privremenog stečajnog upravitelja, da je račun dužnika i nadalje blokiran, sud utvrđuje da je ispunjen stečajni razlog nesposobnosti za plaćanje dužnika iz čl.6. SZ-a.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Kako je Glumina banka d.d. u stečaju predujmila iznos za troškove stečajnog postupka  od 18.500,00 kn, a FINA je temeljem čl.112. st.5. SZ-a, 2. siječnja 2018., na ime predujma za namirenje troškova stečajnog postupka, zaplijenila novčana sredstva u iznosu od 5.000,00 kn sud je ocijenio da su ispunjeni uvjeti da se nad dužnikom otvori stečajni postupak.</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Dana 12. studenog 2018. Trgovački sud u Bjelovaru rješenjem 5. St-1/2018-15 otvara stečajni postupak nad dužnikom AGROMAR d.o.o. za usluge, Virovitica, Matije Gupca 254, OIB: 10902606149, MBS: 080260766, kojim sam imenovan stečajnim upraviteljem i u kojem se pozivaju </w:t>
      </w:r>
      <w:r w:rsidRPr="009676F0">
        <w:rPr>
          <w:rFonts w:cs="Calibri" w:eastAsia="Times New Roman" w:hAnsi="Calibri" w:ascii="Calibri"/>
          <w:sz w:val="24"/>
          <w:szCs w:val="20"/>
          <w:lang w:eastAsia="hr-HR"/>
        </w:rPr>
        <w:t>vjerovnici viših isplatnih redova da u roku od 60 dana prijave svoje tražbine stečajnom upravitelju.</w:t>
      </w:r>
    </w:p>
    <w:p w:rsidRDefault="009676F0" w:rsidP="009676F0" w:rsidR="009676F0" w:rsidRPr="009676F0">
      <w:pPr>
        <w:spacing w:lineRule="auto" w:line="240" w:after="0"/>
        <w:jc w:val="both"/>
        <w:rPr>
          <w:rFonts w:cs="Calibri" w:eastAsia="Times New Roman" w:hAnsi="Calibri" w:ascii="Calibri"/>
          <w:sz w:val="24"/>
          <w:szCs w:val="20"/>
          <w:lang w:eastAsia="hr-HR"/>
        </w:rPr>
      </w:pPr>
    </w:p>
    <w:p w:rsidRDefault="009676F0" w:rsidP="009676F0" w:rsidR="009676F0" w:rsidRPr="009676F0">
      <w:pPr>
        <w:spacing w:lineRule="auto" w:line="240" w:after="0"/>
        <w:jc w:val="both"/>
        <w:rPr>
          <w:rFonts w:cs="Calibri" w:eastAsia="Times New Roman" w:hAnsi="Calibri" w:ascii="Calibri"/>
          <w:sz w:val="24"/>
          <w:szCs w:val="20"/>
          <w:lang w:eastAsia="hr-HR"/>
        </w:rPr>
      </w:pPr>
      <w:r w:rsidRPr="009676F0">
        <w:rPr>
          <w:rFonts w:cs="Calibri" w:eastAsia="Times New Roman" w:hAnsi="Calibri" w:ascii="Calibri"/>
          <w:sz w:val="24"/>
          <w:szCs w:val="20"/>
          <w:lang w:eastAsia="hr-HR"/>
        </w:rPr>
        <w:t>Rok za podnošenje prijava istekao je 20. siječnja 2019. godine te su u tom roku pristigle 3 tražbine vjerovnika II. višeg isplatnog reda i 1 tražbina vjerovnika I. višeg isplatnog reda.</w:t>
      </w:r>
    </w:p>
    <w:p w:rsidRDefault="009676F0" w:rsidP="009676F0" w:rsidR="009676F0" w:rsidRPr="009676F0">
      <w:pPr>
        <w:spacing w:lineRule="auto" w:line="240" w:after="0"/>
        <w:jc w:val="both"/>
        <w:rPr>
          <w:rFonts w:cs="Calibri" w:eastAsia="Times New Roman" w:hAnsi="Calibri" w:ascii="Calibri"/>
          <w:sz w:val="24"/>
          <w:szCs w:val="20"/>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0"/>
          <w:lang w:eastAsia="hr-HR"/>
        </w:rPr>
        <w:t>U trenutku otvaranja stečajnog postupka u društvu nije bilo zaposlenih djelatnika.</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2. OSNOVNI PODACI O DUŽNIKU</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Dužnik je osnovan Izjavom o osnivanju društva od 17.1.1990.g od. usklađen sa ZTD-om 8.12.1995. god. i upisan u registar Trgovačkog suda u Bjelovaru pod brojem MBS 080260766.</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Temeljni kapital Društva iznosi 21.000,00 kuna.</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Osnivač i jedini član društva je Drago Marić, OIB: 61569896559 iz Zagreba, Travanjska 22.</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Zakonski zastupnik dužnika do dana otvaranja stečajnog postupka bila je </w:t>
      </w:r>
      <w:r w:rsidRPr="009676F0">
        <w:rPr>
          <w:rFonts w:cs="Calibri" w:eastAsia="Times New Roman" w:hAnsi="Calibri" w:ascii="Calibri"/>
          <w:sz w:val="24"/>
          <w:szCs w:val="20"/>
          <w:lang w:eastAsia="hr-HR"/>
        </w:rPr>
        <w:t>Tatjana Burazin</w:t>
      </w:r>
      <w:r w:rsidRPr="009676F0">
        <w:rPr>
          <w:rFonts w:cs="Calibri" w:eastAsia="Times New Roman" w:hAnsi="Calibri" w:ascii="Calibri"/>
          <w:sz w:val="24"/>
          <w:szCs w:val="24"/>
          <w:lang w:eastAsia="hr-HR"/>
        </w:rPr>
        <w:t>, OIB: 34870498750, Zagreb, Gundulićeva 13, u svojstvu direktorice koja je zastupala društvo samostalno i bez ograničenja.</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lastRenderedPageBreak/>
        <w:t>AGROMAR d.o.o. osnovano je pod tvrtkom AGROKONTROLA d.o.o. 17.01.1990. godine te je uspješno poslovalo u okviru svojih djelatnosti: kontrole kakvoće i količine prehrambenih proizvoda i otpremničkih poslova sve do 09.06.2017. godine.</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Za obavljanje otpremničkih poslova(špedicije) Agrokontrola d.o.o. je od 1996. godine imalo carinsku garanciju Glumina Banke. Jedan od komitenata je bilo i trgovačko društvo Dastra d.o.o. Zagreb. Dastra d.o.o. je 1998. godine došlo u probleme i prestalo plaćati carinu za uvezenu robu, te se Carinarnica naplatila po carinskoj garanciji koju je Agrokontrola imala od Glumina Banke. Radilo se o iznosu od 4.931.557,43 kune.</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Sudionici ( Glumina banka d.d.-Glumina d.o.o.-Dastra d.o.o. i Agrokontrola d.o.o.)  zaključili su višestruku kompenzaciju koja je bila ovjerena i sprovedena te je dugovanje od strane Agrokontrole</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prema Glumina banci kao i potraživanje Agrokontrole d.o.o.prema  Dastri d.o.o. u potpunosti bilo riješeno.</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U međuvremenu su svi sudionici višestruke kompenzacije, osim Agrokontrole d.o.o., otišli u stečaj. Stečajni upravitelj Glumina banke (Pero Hrkač) je 1999. godine tužio Agrokontrolu d.o.o., Dastru d.o.o. i Glumina d.o.o.za poništenje višestruke kompenzacije. Spor se vodio 18 godina. Trgovački sud u Zagrebu je tri puta presudio u korist Agrokontrole d.o.o., da bi Visoki trgovački sud dana 09.06.2017. preinačio presudu Trgovačkog suda u Zagrebu i presudio u korist Glumina banke d.d. u stečaju.</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Utuženi iznos se s kamatama popeo na iznos od 19.500.000,00 kuna što Agrokontrola nije bila u </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mogućnosti podmiriti. S obzirom da Agrokontrola d.o.o. u svojim poslovnim knjigama nije imala knjiženu obvezu prema Glumina banci, naknadnim je knjiženjem glavnice i zateznih kamata nastao gubitak.</w:t>
      </w: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Račun Agrokontrole d.o.o. je 05.09.2017.blokiran od strane ovrhovoditelja Glumina banke d.d. u stečaju i Agrokontrola je od tada u nemogućnosti normalno poslovati. S obzirom na blokadu računa u neprekinutom razdoblju od 120 dana FINA je podnijela prijedlog za otvaranje stečajnog postupka nad Agrokontrolom (sada Agromarom) kako je to opisano u uvodnom dijelu izvješća.</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3. IMOVINA STEČAJNOG DUŽNIKA</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Sukladno članku 150 Stečajnog zakona, odnosno čl. 221. SZ-a, a temeljem uvida u knjigovodstvenu dokumentaciju i izvršenog popisa imovine utvrđeno je da dužnik na dan 31. siječnja 2017. godine raspolaže sa sljedećom imovinom:</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3. 1. NEKRETNINE</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Prema bruto bilanci na dan 11.11.2018., dužnik u poslovnima knjigama na pozicijama nekretnina nema zabilježene iste.</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Dokaz: Bruto bilanca na dan 11.11.2018. g.</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3. 2. POKRETNINE</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Dužnik u poslovnim knjigama nema evidentiranih motornih cestovnih vozila niti ostalih pokretnina.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Dokaz: Bruto bilanca na dan 11.11.2018. g.</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3. 3. POTRAŽIVANJA</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lastRenderedPageBreak/>
        <w:t>Dužnik u poslovnim knjigama ne iskazuje potraživanja prema kupcima.</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Dokaz: Bruto bilanca na dan 11.11.2018. g.</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3. 4. ZALIHE</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Dužnik na dan 11.11.2018. godine u poslovnim knjigama nema iskazane zalihe.</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Dokaz: Bruto bilanca na dan 11.11.2018. g.</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4. STANJE STEČAJNE MASE</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 xml:space="preserve">S obzirom da dužnik nema imovine stečajni upravitelj nije bio u mogućnosti sastaviti Popis predmeta stečajne mase sukladno članku 221. Stečajnog zakona. </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Pregled imovine i obveza sukladno članku 223. Stečajnog zakona načinjen je temeljem pristiglih prijava tražbina te je tablica obveza navedena kako slijedi:</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i/>
          <w:sz w:val="24"/>
          <w:szCs w:val="24"/>
          <w:u w:val="single"/>
          <w:lang w:eastAsia="hr-HR"/>
        </w:rPr>
      </w:pPr>
      <w:r w:rsidRPr="009676F0">
        <w:rPr>
          <w:rFonts w:cs="Calibri" w:eastAsia="Times New Roman" w:hAnsi="Calibri" w:ascii="Calibri"/>
          <w:b/>
          <w:i/>
          <w:sz w:val="24"/>
          <w:szCs w:val="24"/>
          <w:u w:val="single"/>
          <w:lang w:eastAsia="hr-HR"/>
        </w:rPr>
        <w:t>Obveze dužnika</w:t>
      </w:r>
    </w:p>
    <w:p w:rsidRDefault="009676F0" w:rsidP="009676F0" w:rsidR="009676F0" w:rsidRPr="009676F0">
      <w:pPr>
        <w:spacing w:lineRule="auto" w:line="240" w:after="0"/>
        <w:rPr>
          <w:rFonts w:cs="Calibri" w:eastAsia="Times New Roman" w:hAnsi="Calibri" w:ascii="Calibri"/>
          <w:sz w:val="24"/>
          <w:szCs w:val="24"/>
          <w:lang w:eastAsia="hr-HR"/>
        </w:rPr>
      </w:pPr>
    </w:p>
    <w:tbl>
      <w:tblPr>
        <w:tblW w:type="dxa" w:w="8620"/>
        <w:tblInd w:type="dxa" w:w="108"/>
        <w:tblLook w:val="04A0" w:noVBand="1" w:noHBand="0" w:lastColumn="0" w:firstColumn="1" w:lastRow="0" w:firstRow="1"/>
      </w:tblPr>
      <w:tblGrid>
        <w:gridCol w:w="3340"/>
        <w:gridCol w:w="2900"/>
        <w:gridCol w:w="2380"/>
      </w:tblGrid>
      <w:tr w:rsidTr="00366983" w:rsidR="009676F0" w:rsidRPr="009676F0">
        <w:trPr>
          <w:trHeight w:val="315"/>
        </w:trPr>
        <w:tc>
          <w:tcPr>
            <w:tcW w:type="dxa" w:w="3340"/>
            <w:tcBorders>
              <w:top w:space="0" w:sz="8" w:color="auto" w:val="single"/>
              <w:left w:space="0" w:sz="8" w:color="auto" w:val="single"/>
              <w:bottom w:space="0" w:sz="8" w:color="auto" w:val="single"/>
              <w:right w:space="0" w:sz="8" w:color="auto" w:val="single"/>
            </w:tcBorders>
            <w:shd w:fill="D9D9D9" w:color="000000" w:val="clear"/>
            <w:vAlign w:val="center"/>
            <w:hideMark/>
          </w:tcPr>
          <w:p w:rsidRDefault="009676F0" w:rsidP="009676F0" w:rsidR="009676F0" w:rsidRPr="009676F0">
            <w:pPr>
              <w:spacing w:lineRule="auto" w:line="240" w:after="0"/>
              <w:rPr>
                <w:rFonts w:cs="Calibri" w:eastAsia="Times New Roman" w:hAnsi="Calibri" w:ascii="Calibri"/>
                <w:b/>
                <w:bCs/>
                <w:lang w:eastAsia="hr-HR"/>
              </w:rPr>
            </w:pPr>
            <w:r w:rsidRPr="009676F0">
              <w:rPr>
                <w:rFonts w:cs="Calibri" w:eastAsia="Times New Roman" w:hAnsi="Calibri" w:ascii="Calibri"/>
                <w:b/>
                <w:bCs/>
                <w:lang w:eastAsia="hr-HR"/>
              </w:rPr>
              <w:t>Naziv stavke</w:t>
            </w:r>
          </w:p>
        </w:tc>
        <w:tc>
          <w:tcPr>
            <w:tcW w:type="dxa" w:w="2900"/>
            <w:tcBorders>
              <w:top w:space="0" w:sz="8" w:color="auto" w:val="single"/>
              <w:left w:val="nil"/>
              <w:bottom w:space="0" w:sz="8" w:color="auto" w:val="single"/>
              <w:right w:space="0" w:sz="8" w:color="auto" w:val="single"/>
            </w:tcBorders>
            <w:shd w:fill="D9D9D9" w:color="000000" w:val="clear"/>
            <w:vAlign w:val="center"/>
            <w:hideMark/>
          </w:tcPr>
          <w:p w:rsidRDefault="009676F0" w:rsidP="009676F0" w:rsidR="009676F0" w:rsidRPr="009676F0">
            <w:pPr>
              <w:spacing w:lineRule="auto" w:line="240" w:after="0"/>
              <w:rPr>
                <w:rFonts w:cs="Calibri" w:eastAsia="Times New Roman" w:hAnsi="Calibri" w:ascii="Calibri"/>
                <w:b/>
                <w:bCs/>
                <w:lang w:eastAsia="hr-HR"/>
              </w:rPr>
            </w:pPr>
            <w:r w:rsidRPr="009676F0">
              <w:rPr>
                <w:rFonts w:cs="Calibri" w:eastAsia="Times New Roman" w:hAnsi="Calibri" w:ascii="Calibri"/>
                <w:b/>
                <w:bCs/>
                <w:lang w:eastAsia="hr-HR"/>
              </w:rPr>
              <w:t>Osnova</w:t>
            </w:r>
          </w:p>
        </w:tc>
        <w:tc>
          <w:tcPr>
            <w:tcW w:type="dxa" w:w="2380"/>
            <w:tcBorders>
              <w:top w:space="0" w:sz="8" w:color="auto" w:val="single"/>
              <w:left w:val="nil"/>
              <w:bottom w:space="0" w:sz="8" w:color="auto" w:val="single"/>
              <w:right w:space="0" w:sz="8" w:color="auto" w:val="single"/>
            </w:tcBorders>
            <w:shd w:fill="D9D9D9" w:color="000000" w:val="clear"/>
            <w:vAlign w:val="center"/>
            <w:hideMark/>
          </w:tcPr>
          <w:p w:rsidRDefault="009676F0" w:rsidP="009676F0" w:rsidR="009676F0" w:rsidRPr="009676F0">
            <w:pPr>
              <w:spacing w:lineRule="auto" w:line="240" w:after="0"/>
              <w:jc w:val="center"/>
              <w:rPr>
                <w:rFonts w:cs="Calibri" w:eastAsia="Times New Roman" w:hAnsi="Calibri" w:ascii="Calibri"/>
                <w:b/>
                <w:bCs/>
                <w:lang w:eastAsia="hr-HR"/>
              </w:rPr>
            </w:pPr>
            <w:r w:rsidRPr="009676F0">
              <w:rPr>
                <w:rFonts w:cs="Calibri" w:eastAsia="Times New Roman" w:hAnsi="Calibri" w:ascii="Calibri"/>
                <w:b/>
                <w:bCs/>
                <w:lang w:eastAsia="hr-HR"/>
              </w:rPr>
              <w:t>Iznos (kn)</w:t>
            </w:r>
          </w:p>
        </w:tc>
      </w:tr>
      <w:tr w:rsidTr="00366983" w:rsidR="009676F0" w:rsidRPr="009676F0">
        <w:trPr>
          <w:trHeight w:val="3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rPr>
                <w:rFonts w:cs="Calibri" w:eastAsia="Times New Roman" w:hAnsi="Calibri" w:ascii="Calibri"/>
                <w:lang w:eastAsia="hr-HR"/>
              </w:rPr>
            </w:pPr>
            <w:r w:rsidRPr="009676F0">
              <w:rPr>
                <w:rFonts w:cs="Calibri" w:eastAsia="Times New Roman" w:hAnsi="Calibri" w:ascii="Calibri"/>
                <w:lang w:eastAsia="hr-HR"/>
              </w:rPr>
              <w:t>Tražbine I. viši isplatni red</w:t>
            </w:r>
          </w:p>
        </w:tc>
        <w:tc>
          <w:tcPr>
            <w:tcW w:type="dxa" w:w="2900"/>
            <w:tcBorders>
              <w:top w:val="nil"/>
              <w:left w:val="nil"/>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rPr>
                <w:rFonts w:cs="Calibri" w:eastAsia="Times New Roman" w:hAnsi="Calibri" w:ascii="Calibri"/>
                <w:lang w:eastAsia="hr-HR"/>
              </w:rPr>
            </w:pPr>
            <w:r w:rsidRPr="009676F0">
              <w:rPr>
                <w:rFonts w:cs="Calibri" w:eastAsia="Times New Roman" w:hAnsi="Calibri" w:ascii="Calibri"/>
                <w:lang w:eastAsia="hr-HR"/>
              </w:rPr>
              <w:t>Prijava tražbina</w:t>
            </w:r>
          </w:p>
        </w:tc>
        <w:tc>
          <w:tcPr>
            <w:tcW w:type="dxa" w:w="2380"/>
            <w:tcBorders>
              <w:top w:val="nil"/>
              <w:left w:val="nil"/>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jc w:val="right"/>
              <w:rPr>
                <w:rFonts w:cs="Calibri" w:eastAsia="Times New Roman" w:hAnsi="Calibri" w:ascii="Calibri"/>
                <w:lang w:eastAsia="hr-HR"/>
              </w:rPr>
            </w:pPr>
            <w:r w:rsidRPr="009676F0">
              <w:rPr>
                <w:rFonts w:cs="Calibri" w:eastAsia="Times New Roman" w:hAnsi="Calibri" w:ascii="Calibri"/>
                <w:lang w:eastAsia="hr-HR"/>
              </w:rPr>
              <w:t>332.772,69</w:t>
            </w:r>
          </w:p>
        </w:tc>
      </w:tr>
      <w:tr w:rsidTr="00366983" w:rsidR="009676F0" w:rsidRPr="009676F0">
        <w:trPr>
          <w:trHeight w:val="615"/>
        </w:trPr>
        <w:tc>
          <w:tcPr>
            <w:tcW w:type="dxa" w:w="3340"/>
            <w:tcBorders>
              <w:top w:val="nil"/>
              <w:left w:space="0" w:sz="8" w:color="auto" w:val="single"/>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rPr>
                <w:rFonts w:cs="Calibri" w:eastAsia="Times New Roman" w:hAnsi="Calibri" w:ascii="Calibri"/>
                <w:lang w:eastAsia="hr-HR"/>
              </w:rPr>
            </w:pPr>
            <w:r w:rsidRPr="009676F0">
              <w:rPr>
                <w:rFonts w:cs="Calibri" w:eastAsia="Times New Roman" w:hAnsi="Calibri" w:ascii="Calibri"/>
                <w:lang w:eastAsia="hr-HR"/>
              </w:rPr>
              <w:t>Tražbine II. viši isplatni red</w:t>
            </w:r>
          </w:p>
        </w:tc>
        <w:tc>
          <w:tcPr>
            <w:tcW w:type="dxa" w:w="2900"/>
            <w:tcBorders>
              <w:top w:val="nil"/>
              <w:left w:val="nil"/>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rPr>
                <w:rFonts w:cs="Calibri" w:eastAsia="Times New Roman" w:hAnsi="Calibri" w:ascii="Calibri"/>
                <w:lang w:eastAsia="hr-HR"/>
              </w:rPr>
            </w:pPr>
            <w:r w:rsidRPr="009676F0">
              <w:rPr>
                <w:rFonts w:cs="Calibri" w:eastAsia="Times New Roman" w:hAnsi="Calibri" w:ascii="Calibri"/>
                <w:lang w:eastAsia="hr-HR"/>
              </w:rPr>
              <w:t>Prijava tražbina</w:t>
            </w:r>
          </w:p>
        </w:tc>
        <w:tc>
          <w:tcPr>
            <w:tcW w:type="dxa" w:w="2380"/>
            <w:tcBorders>
              <w:top w:val="nil"/>
              <w:left w:val="nil"/>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jc w:val="right"/>
              <w:rPr>
                <w:rFonts w:cs="Calibri" w:eastAsia="Times New Roman" w:hAnsi="Calibri" w:ascii="Calibri"/>
                <w:lang w:eastAsia="hr-HR"/>
              </w:rPr>
            </w:pPr>
            <w:r w:rsidRPr="009676F0">
              <w:rPr>
                <w:rFonts w:cs="Calibri" w:eastAsia="Times New Roman" w:hAnsi="Calibri" w:ascii="Calibri"/>
                <w:lang w:eastAsia="hr-HR"/>
              </w:rPr>
              <w:t>20.034.613,34</w:t>
            </w:r>
          </w:p>
        </w:tc>
      </w:tr>
      <w:tr w:rsidTr="00366983" w:rsidR="009676F0" w:rsidRPr="009676F0">
        <w:trPr>
          <w:trHeight w:val="315"/>
        </w:trPr>
        <w:tc>
          <w:tcPr>
            <w:tcW w:type="dxa" w:w="3340"/>
            <w:tcBorders>
              <w:top w:val="nil"/>
              <w:left w:val="nil"/>
              <w:bottom w:val="nil"/>
              <w:right w:val="nil"/>
            </w:tcBorders>
            <w:shd w:fill="auto" w:color="auto" w:val="clear"/>
            <w:vAlign w:val="bottom"/>
            <w:hideMark/>
          </w:tcPr>
          <w:p w:rsidRDefault="009676F0" w:rsidP="009676F0" w:rsidR="009676F0" w:rsidRPr="009676F0">
            <w:pPr>
              <w:spacing w:lineRule="auto" w:line="240" w:after="0"/>
              <w:jc w:val="right"/>
              <w:rPr>
                <w:rFonts w:cs="Calibri" w:eastAsia="Times New Roman" w:hAnsi="Calibri" w:ascii="Calibri"/>
                <w:lang w:eastAsia="hr-HR"/>
              </w:rPr>
            </w:pPr>
          </w:p>
        </w:tc>
        <w:tc>
          <w:tcPr>
            <w:tcW w:type="dxa" w:w="2900"/>
            <w:tcBorders>
              <w:top w:val="nil"/>
              <w:left w:val="nil"/>
              <w:bottom w:val="nil"/>
              <w:right w:val="nil"/>
            </w:tcBorders>
            <w:shd w:fill="auto" w:color="auto" w:val="clear"/>
            <w:vAlign w:val="bottom"/>
            <w:hideMark/>
          </w:tcPr>
          <w:p w:rsidRDefault="009676F0" w:rsidP="009676F0" w:rsidR="009676F0" w:rsidRPr="009676F0">
            <w:pPr>
              <w:spacing w:lineRule="auto" w:line="240" w:after="0"/>
              <w:rPr>
                <w:rFonts w:cs="Times New Roman" w:eastAsia="Times New Roman" w:hAnsi="Times New Roman" w:ascii="Times New Roman"/>
                <w:sz w:val="20"/>
                <w:szCs w:val="20"/>
                <w:lang w:eastAsia="hr-HR"/>
              </w:rPr>
            </w:pPr>
          </w:p>
        </w:tc>
        <w:tc>
          <w:tcPr>
            <w:tcW w:type="dxa" w:w="2380"/>
            <w:tcBorders>
              <w:top w:val="nil"/>
              <w:left w:space="0" w:sz="8" w:color="auto" w:val="single"/>
              <w:bottom w:space="0" w:sz="8" w:color="auto" w:val="single"/>
              <w:right w:space="0" w:sz="8" w:color="auto" w:val="single"/>
            </w:tcBorders>
            <w:shd w:fill="auto" w:color="auto" w:val="clear"/>
            <w:vAlign w:val="center"/>
            <w:hideMark/>
          </w:tcPr>
          <w:p w:rsidRDefault="009676F0" w:rsidP="009676F0" w:rsidR="009676F0" w:rsidRPr="009676F0">
            <w:pPr>
              <w:spacing w:lineRule="auto" w:line="240" w:after="0"/>
              <w:jc w:val="right"/>
              <w:rPr>
                <w:rFonts w:cs="Calibri" w:eastAsia="Times New Roman" w:hAnsi="Calibri" w:ascii="Calibri"/>
                <w:b/>
                <w:bCs/>
                <w:lang w:eastAsia="hr-HR"/>
              </w:rPr>
            </w:pPr>
            <w:r w:rsidRPr="009676F0">
              <w:rPr>
                <w:rFonts w:cs="Calibri" w:eastAsia="Times New Roman" w:hAnsi="Calibri" w:ascii="Calibri"/>
                <w:b/>
                <w:bCs/>
                <w:lang w:eastAsia="hr-HR"/>
              </w:rPr>
              <w:fldChar w:fldCharType="begin"/>
            </w:r>
            <w:r w:rsidRPr="009676F0">
              <w:rPr>
                <w:rFonts w:cs="Calibri" w:eastAsia="Times New Roman" w:hAnsi="Calibri" w:ascii="Calibri"/>
                <w:b/>
                <w:bCs/>
                <w:lang w:eastAsia="hr-HR"/>
              </w:rPr>
              <w:instrText xml:space="preserve"> =SUM(ABOVE) \# "#.##0,00" </w:instrText>
            </w:r>
            <w:r w:rsidRPr="009676F0">
              <w:rPr>
                <w:rFonts w:cs="Calibri" w:eastAsia="Times New Roman" w:hAnsi="Calibri" w:ascii="Calibri"/>
                <w:b/>
                <w:bCs/>
                <w:lang w:eastAsia="hr-HR"/>
              </w:rPr>
              <w:fldChar w:fldCharType="separate"/>
            </w:r>
            <w:r w:rsidRPr="009676F0">
              <w:rPr>
                <w:rFonts w:cs="Calibri" w:eastAsia="Times New Roman" w:hAnsi="Calibri" w:ascii="Calibri"/>
                <w:b/>
                <w:bCs/>
                <w:noProof/>
                <w:lang w:eastAsia="hr-HR"/>
              </w:rPr>
              <w:t>20.367.386,03</w:t>
            </w:r>
            <w:r w:rsidRPr="009676F0">
              <w:rPr>
                <w:rFonts w:cs="Calibri" w:eastAsia="Times New Roman" w:hAnsi="Calibri" w:ascii="Calibri"/>
                <w:b/>
                <w:bCs/>
                <w:lang w:eastAsia="hr-HR"/>
              </w:rPr>
              <w:fldChar w:fldCharType="end"/>
            </w:r>
          </w:p>
        </w:tc>
      </w:tr>
    </w:tbl>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5. PREGLED PREDVIDIVIH TROŠKOVA STEČAJNOG POSTUPKA</w:t>
      </w:r>
    </w:p>
    <w:p w:rsidRDefault="009676F0" w:rsidP="009676F0" w:rsidR="009676F0" w:rsidRPr="009676F0">
      <w:pPr>
        <w:spacing w:lineRule="auto" w:line="240" w:after="0"/>
        <w:rPr>
          <w:rFonts w:cs="Calibri" w:eastAsia="Times New Roman" w:hAnsi="Calibri" w:ascii="Calibri"/>
          <w:sz w:val="24"/>
          <w:szCs w:val="24"/>
          <w:lang w:eastAsia="hr-HR"/>
        </w:rPr>
      </w:pPr>
    </w:p>
    <w:tbl>
      <w:tblPr>
        <w:tblW w:type="pct" w:w="5000"/>
        <w:jc w:val="center"/>
        <w:tblLook w:val="04A0" w:noVBand="1" w:noHBand="0" w:lastColumn="0" w:firstColumn="1" w:lastRow="0" w:firstRow="1"/>
      </w:tblPr>
      <w:tblGrid>
        <w:gridCol w:w="8165"/>
        <w:gridCol w:w="1689"/>
      </w:tblGrid>
      <w:tr w:rsidTr="00366983" w:rsidR="009676F0" w:rsidRPr="009676F0">
        <w:trPr>
          <w:trHeight w:val="300"/>
          <w:jc w:val="center"/>
        </w:trPr>
        <w:tc>
          <w:tcPr>
            <w:tcW w:type="pct" w:w="4143"/>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9676F0" w:rsidP="009676F0" w:rsidR="009676F0" w:rsidRPr="009676F0">
            <w:pPr>
              <w:spacing w:lineRule="auto" w:line="240" w:after="0"/>
              <w:rPr>
                <w:rFonts w:cs="Calibri Light" w:eastAsia="Times New Roman" w:hAnsi="Calibri Light" w:ascii="Calibri Light"/>
                <w:b/>
                <w:bCs/>
                <w:sz w:val="24"/>
                <w:szCs w:val="24"/>
                <w:lang w:eastAsia="hr-HR"/>
              </w:rPr>
            </w:pPr>
            <w:r w:rsidRPr="009676F0">
              <w:rPr>
                <w:rFonts w:cs="Calibri Light" w:eastAsia="Times New Roman" w:hAnsi="Calibri Light" w:ascii="Calibri Light"/>
                <w:b/>
                <w:bCs/>
                <w:sz w:val="24"/>
                <w:szCs w:val="24"/>
                <w:lang w:eastAsia="hr-HR"/>
              </w:rPr>
              <w:t>Naziv</w:t>
            </w:r>
          </w:p>
        </w:tc>
        <w:tc>
          <w:tcPr>
            <w:tcW w:type="pct" w:w="857"/>
            <w:tcBorders>
              <w:top w:space="0" w:sz="4" w:color="auto" w:val="single"/>
              <w:left w:val="nil"/>
              <w:bottom w:space="0" w:sz="4" w:color="auto" w:val="single"/>
              <w:right w:space="0" w:sz="4" w:color="auto" w:val="single"/>
            </w:tcBorders>
            <w:shd w:fill="D9D9D9" w:color="auto" w:val="clear"/>
            <w:noWrap/>
            <w:vAlign w:val="center"/>
            <w:hideMark/>
          </w:tcPr>
          <w:p w:rsidRDefault="009676F0" w:rsidP="009676F0" w:rsidR="009676F0" w:rsidRPr="009676F0">
            <w:pPr>
              <w:spacing w:lineRule="auto" w:line="240" w:after="0"/>
              <w:jc w:val="center"/>
              <w:rPr>
                <w:rFonts w:cs="Calibri Light" w:eastAsia="Times New Roman" w:hAnsi="Calibri Light" w:ascii="Calibri Light"/>
                <w:b/>
                <w:bCs/>
                <w:sz w:val="24"/>
                <w:szCs w:val="24"/>
                <w:lang w:eastAsia="hr-HR"/>
              </w:rPr>
            </w:pPr>
            <w:r w:rsidRPr="009676F0">
              <w:rPr>
                <w:rFonts w:cs="Calibri Light" w:eastAsia="Times New Roman" w:hAnsi="Calibri Light" w:ascii="Calibri Light"/>
                <w:b/>
                <w:bCs/>
                <w:sz w:val="24"/>
                <w:szCs w:val="24"/>
                <w:lang w:eastAsia="hr-HR"/>
              </w:rPr>
              <w:t>Iznos u kn</w:t>
            </w:r>
          </w:p>
        </w:tc>
      </w:tr>
      <w:tr w:rsidTr="00366983" w:rsidR="009676F0" w:rsidRPr="009676F0">
        <w:trPr>
          <w:trHeight w:val="300"/>
          <w:jc w:val="center"/>
        </w:trPr>
        <w:tc>
          <w:tcPr>
            <w:tcW w:type="pct" w:w="4143"/>
            <w:tcBorders>
              <w:top w:val="nil"/>
              <w:left w:space="0" w:sz="4" w:color="auto" w:val="single"/>
              <w:bottom w:space="0" w:sz="4" w:color="auto" w:val="single"/>
              <w:right w:space="0" w:sz="4" w:color="auto" w:val="single"/>
            </w:tcBorders>
            <w:noWrap/>
            <w:vAlign w:val="bottom"/>
            <w:hideMark/>
          </w:tcPr>
          <w:p w:rsidRDefault="009676F0" w:rsidP="009676F0" w:rsidR="009676F0" w:rsidRPr="009676F0">
            <w:pPr>
              <w:spacing w:lineRule="auto" w:line="240" w:after="0"/>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Knjigovodstvene usluge (12 mjeseci x 1.000,00 kn/mj)</w:t>
            </w:r>
          </w:p>
        </w:tc>
        <w:tc>
          <w:tcPr>
            <w:tcW w:type="pct" w:w="857"/>
            <w:tcBorders>
              <w:top w:val="nil"/>
              <w:left w:val="nil"/>
              <w:bottom w:space="0" w:sz="4" w:color="auto" w:val="single"/>
              <w:right w:space="0" w:sz="4" w:color="auto" w:val="single"/>
            </w:tcBorders>
            <w:noWrap/>
            <w:vAlign w:val="bottom"/>
            <w:hideMark/>
          </w:tcPr>
          <w:p w:rsidRDefault="009676F0" w:rsidP="009676F0" w:rsidR="009676F0" w:rsidRPr="009676F0">
            <w:pPr>
              <w:spacing w:lineRule="auto" w:line="240" w:after="0"/>
              <w:jc w:val="right"/>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12.000,00</w:t>
            </w:r>
          </w:p>
        </w:tc>
      </w:tr>
      <w:tr w:rsidTr="00366983" w:rsidR="009676F0" w:rsidRPr="009676F0">
        <w:trPr>
          <w:trHeight w:val="300"/>
          <w:jc w:val="center"/>
        </w:trPr>
        <w:tc>
          <w:tcPr>
            <w:tcW w:type="pct" w:w="4143"/>
            <w:tcBorders>
              <w:top w:val="nil"/>
              <w:left w:space="0" w:sz="4" w:color="auto" w:val="single"/>
              <w:bottom w:space="0" w:sz="4" w:color="auto" w:val="single"/>
              <w:right w:space="0" w:sz="4" w:color="auto" w:val="single"/>
            </w:tcBorders>
            <w:noWrap/>
            <w:vAlign w:val="bottom"/>
          </w:tcPr>
          <w:p w:rsidRDefault="009676F0" w:rsidP="009676F0" w:rsidR="009676F0" w:rsidRPr="009676F0">
            <w:pPr>
              <w:spacing w:lineRule="auto" w:line="240" w:after="0"/>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Izrada pečata</w:t>
            </w:r>
          </w:p>
        </w:tc>
        <w:tc>
          <w:tcPr>
            <w:tcW w:type="pct" w:w="857"/>
            <w:tcBorders>
              <w:top w:val="nil"/>
              <w:left w:val="nil"/>
              <w:bottom w:space="0" w:sz="4" w:color="auto" w:val="single"/>
              <w:right w:space="0" w:sz="4" w:color="auto" w:val="single"/>
            </w:tcBorders>
            <w:noWrap/>
            <w:vAlign w:val="bottom"/>
          </w:tcPr>
          <w:p w:rsidRDefault="009676F0" w:rsidP="009676F0" w:rsidR="009676F0" w:rsidRPr="009676F0">
            <w:pPr>
              <w:spacing w:lineRule="auto" w:line="240" w:after="0"/>
              <w:jc w:val="right"/>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150,00</w:t>
            </w:r>
          </w:p>
        </w:tc>
      </w:tr>
      <w:tr w:rsidTr="00366983" w:rsidR="009676F0" w:rsidRPr="009676F0">
        <w:trPr>
          <w:trHeight w:val="300"/>
          <w:jc w:val="center"/>
        </w:trPr>
        <w:tc>
          <w:tcPr>
            <w:tcW w:type="pct" w:w="4143"/>
            <w:tcBorders>
              <w:top w:val="nil"/>
              <w:left w:space="0" w:sz="4" w:color="auto" w:val="single"/>
              <w:bottom w:space="0" w:sz="4" w:color="auto" w:val="single"/>
              <w:right w:space="0" w:sz="4" w:color="auto" w:val="single"/>
            </w:tcBorders>
            <w:noWrap/>
            <w:vAlign w:val="bottom"/>
          </w:tcPr>
          <w:p w:rsidRDefault="009676F0" w:rsidP="009676F0" w:rsidR="009676F0" w:rsidRPr="009676F0">
            <w:pPr>
              <w:spacing w:lineRule="auto" w:line="240" w:after="0"/>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Naknada banci za vođenje transakcijskog računa (12 mjeseci x 35 kn/mj)</w:t>
            </w:r>
          </w:p>
        </w:tc>
        <w:tc>
          <w:tcPr>
            <w:tcW w:type="pct" w:w="857"/>
            <w:tcBorders>
              <w:top w:val="nil"/>
              <w:left w:val="nil"/>
              <w:bottom w:space="0" w:sz="4" w:color="auto" w:val="single"/>
              <w:right w:space="0" w:sz="4" w:color="auto" w:val="single"/>
            </w:tcBorders>
            <w:noWrap/>
            <w:vAlign w:val="bottom"/>
          </w:tcPr>
          <w:p w:rsidRDefault="009676F0" w:rsidP="009676F0" w:rsidR="009676F0" w:rsidRPr="009676F0">
            <w:pPr>
              <w:spacing w:lineRule="auto" w:line="240" w:after="0"/>
              <w:jc w:val="right"/>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420,00</w:t>
            </w:r>
          </w:p>
        </w:tc>
      </w:tr>
      <w:tr w:rsidTr="00366983" w:rsidR="009676F0" w:rsidRPr="009676F0">
        <w:trPr>
          <w:trHeight w:val="300"/>
          <w:jc w:val="center"/>
        </w:trPr>
        <w:tc>
          <w:tcPr>
            <w:tcW w:type="pct" w:w="4143"/>
            <w:tcBorders>
              <w:top w:val="nil"/>
              <w:left w:space="0" w:sz="4" w:color="auto" w:val="single"/>
              <w:bottom w:space="0" w:sz="4" w:color="auto" w:val="single"/>
              <w:right w:space="0" w:sz="4" w:color="auto" w:val="single"/>
            </w:tcBorders>
            <w:noWrap/>
            <w:vAlign w:val="bottom"/>
          </w:tcPr>
          <w:p w:rsidRDefault="009676F0" w:rsidP="009676F0" w:rsidR="009676F0" w:rsidRPr="009676F0">
            <w:pPr>
              <w:spacing w:lineRule="auto" w:line="240" w:after="0"/>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Troškovi arhiviranja – pregled i izlučivanje (ugovor o djelu)</w:t>
            </w:r>
          </w:p>
        </w:tc>
        <w:tc>
          <w:tcPr>
            <w:tcW w:type="pct" w:w="857"/>
            <w:tcBorders>
              <w:top w:val="nil"/>
              <w:left w:val="nil"/>
              <w:bottom w:space="0" w:sz="4" w:color="auto" w:val="single"/>
              <w:right w:space="0" w:sz="4" w:color="auto" w:val="single"/>
            </w:tcBorders>
            <w:noWrap/>
            <w:vAlign w:val="bottom"/>
          </w:tcPr>
          <w:p w:rsidRDefault="009676F0" w:rsidP="009676F0" w:rsidR="009676F0" w:rsidRPr="009676F0">
            <w:pPr>
              <w:spacing w:lineRule="auto" w:line="240" w:after="0"/>
              <w:jc w:val="right"/>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3.000,00</w:t>
            </w:r>
          </w:p>
        </w:tc>
      </w:tr>
      <w:tr w:rsidTr="00366983" w:rsidR="009676F0" w:rsidRPr="009676F0">
        <w:trPr>
          <w:trHeight w:val="300"/>
          <w:jc w:val="center"/>
        </w:trPr>
        <w:tc>
          <w:tcPr>
            <w:tcW w:type="pct" w:w="4143"/>
            <w:tcBorders>
              <w:top w:val="nil"/>
              <w:left w:space="0" w:sz="4" w:color="auto" w:val="single"/>
              <w:bottom w:space="0" w:sz="4" w:color="auto" w:val="single"/>
              <w:right w:space="0" w:sz="4" w:color="auto" w:val="single"/>
            </w:tcBorders>
            <w:noWrap/>
            <w:vAlign w:val="bottom"/>
          </w:tcPr>
          <w:p w:rsidRDefault="009676F0" w:rsidP="009676F0" w:rsidR="009676F0" w:rsidRPr="009676F0">
            <w:pPr>
              <w:spacing w:lineRule="auto" w:line="240" w:after="0"/>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Ostali nepredviđeni troškovi (pristojbe, biljezi i sl.)</w:t>
            </w:r>
          </w:p>
        </w:tc>
        <w:tc>
          <w:tcPr>
            <w:tcW w:type="pct" w:w="857"/>
            <w:tcBorders>
              <w:top w:val="nil"/>
              <w:left w:val="nil"/>
              <w:bottom w:space="0" w:sz="4" w:color="auto" w:val="single"/>
              <w:right w:space="0" w:sz="4" w:color="auto" w:val="single"/>
            </w:tcBorders>
            <w:noWrap/>
            <w:vAlign w:val="bottom"/>
          </w:tcPr>
          <w:p w:rsidRDefault="009676F0" w:rsidP="009676F0" w:rsidR="009676F0" w:rsidRPr="009676F0">
            <w:pPr>
              <w:spacing w:lineRule="auto" w:line="240" w:after="0"/>
              <w:jc w:val="right"/>
              <w:rPr>
                <w:rFonts w:cs="Calibri Light" w:eastAsia="Times New Roman" w:hAnsi="Calibri Light" w:ascii="Calibri Light"/>
                <w:sz w:val="24"/>
                <w:szCs w:val="24"/>
                <w:lang w:eastAsia="hr-HR"/>
              </w:rPr>
            </w:pPr>
            <w:r w:rsidRPr="009676F0">
              <w:rPr>
                <w:rFonts w:cs="Calibri Light" w:eastAsia="Times New Roman" w:hAnsi="Calibri Light" w:ascii="Calibri Light"/>
                <w:sz w:val="24"/>
                <w:szCs w:val="24"/>
                <w:lang w:eastAsia="hr-HR"/>
              </w:rPr>
              <w:t>430,00</w:t>
            </w:r>
          </w:p>
        </w:tc>
      </w:tr>
      <w:tr w:rsidTr="00366983" w:rsidR="009676F0" w:rsidRPr="009676F0">
        <w:trPr>
          <w:trHeight w:val="300"/>
          <w:jc w:val="center"/>
        </w:trPr>
        <w:tc>
          <w:tcPr>
            <w:tcW w:type="pct" w:w="4143"/>
            <w:tcBorders>
              <w:top w:val="nil"/>
              <w:left w:space="0" w:sz="4" w:color="auto" w:val="single"/>
              <w:bottom w:space="0" w:sz="4" w:color="auto" w:val="single"/>
              <w:right w:space="0" w:sz="4" w:color="auto" w:val="single"/>
            </w:tcBorders>
            <w:shd w:fill="D9D9D9" w:color="auto" w:val="clear"/>
            <w:noWrap/>
            <w:vAlign w:val="center"/>
            <w:hideMark/>
          </w:tcPr>
          <w:p w:rsidRDefault="009676F0" w:rsidP="009676F0" w:rsidR="009676F0" w:rsidRPr="009676F0">
            <w:pPr>
              <w:spacing w:lineRule="auto" w:line="240" w:after="0"/>
              <w:rPr>
                <w:rFonts w:cs="Calibri Light" w:eastAsia="Times New Roman" w:hAnsi="Calibri Light" w:ascii="Calibri Light"/>
                <w:b/>
                <w:bCs/>
                <w:sz w:val="24"/>
                <w:szCs w:val="24"/>
                <w:lang w:eastAsia="hr-HR"/>
              </w:rPr>
            </w:pPr>
            <w:r w:rsidRPr="009676F0">
              <w:rPr>
                <w:rFonts w:cs="Calibri Light" w:eastAsia="Times New Roman" w:hAnsi="Calibri Light" w:ascii="Calibri Light"/>
                <w:b/>
                <w:bCs/>
                <w:sz w:val="24"/>
                <w:szCs w:val="24"/>
                <w:lang w:eastAsia="hr-HR"/>
              </w:rPr>
              <w:t>UKUPNO</w:t>
            </w:r>
          </w:p>
        </w:tc>
        <w:tc>
          <w:tcPr>
            <w:tcW w:type="pct" w:w="857"/>
            <w:tcBorders>
              <w:top w:val="nil"/>
              <w:left w:val="nil"/>
              <w:bottom w:space="0" w:sz="4" w:color="auto" w:val="single"/>
              <w:right w:space="0" w:sz="4" w:color="auto" w:val="single"/>
            </w:tcBorders>
            <w:shd w:fill="D9D9D9" w:color="auto" w:val="clear"/>
            <w:noWrap/>
            <w:vAlign w:val="center"/>
          </w:tcPr>
          <w:p w:rsidRDefault="009676F0" w:rsidP="009676F0" w:rsidR="009676F0" w:rsidRPr="009676F0">
            <w:pPr>
              <w:spacing w:lineRule="auto" w:line="240" w:after="0"/>
              <w:jc w:val="right"/>
              <w:rPr>
                <w:rFonts w:cs="Calibri Light" w:eastAsia="Times New Roman" w:hAnsi="Calibri Light" w:ascii="Calibri Light"/>
                <w:b/>
                <w:bCs/>
                <w:sz w:val="24"/>
                <w:szCs w:val="24"/>
                <w:lang w:eastAsia="hr-HR"/>
              </w:rPr>
            </w:pPr>
            <w:r w:rsidRPr="009676F0">
              <w:rPr>
                <w:rFonts w:cs="Calibri Light" w:eastAsia="Times New Roman" w:hAnsi="Calibri Light" w:ascii="Calibri Light"/>
                <w:b/>
                <w:bCs/>
                <w:sz w:val="24"/>
                <w:szCs w:val="24"/>
                <w:lang w:eastAsia="hr-HR"/>
              </w:rPr>
              <w:fldChar w:fldCharType="begin"/>
            </w:r>
            <w:r w:rsidRPr="009676F0">
              <w:rPr>
                <w:rFonts w:cs="Calibri Light" w:eastAsia="Times New Roman" w:hAnsi="Calibri Light" w:ascii="Calibri Light"/>
                <w:b/>
                <w:bCs/>
                <w:sz w:val="24"/>
                <w:szCs w:val="24"/>
                <w:lang w:eastAsia="hr-HR"/>
              </w:rPr>
              <w:instrText xml:space="preserve"> =SUM(ABOVE) \# "#.##0,00" </w:instrText>
            </w:r>
            <w:r w:rsidRPr="009676F0">
              <w:rPr>
                <w:rFonts w:cs="Calibri Light" w:eastAsia="Times New Roman" w:hAnsi="Calibri Light" w:ascii="Calibri Light"/>
                <w:b/>
                <w:bCs/>
                <w:sz w:val="24"/>
                <w:szCs w:val="24"/>
                <w:lang w:eastAsia="hr-HR"/>
              </w:rPr>
              <w:fldChar w:fldCharType="separate"/>
            </w:r>
            <w:r w:rsidRPr="009676F0">
              <w:rPr>
                <w:rFonts w:cs="Calibri Light" w:eastAsia="Times New Roman" w:hAnsi="Calibri Light" w:ascii="Calibri Light"/>
                <w:b/>
                <w:bCs/>
                <w:noProof/>
                <w:sz w:val="24"/>
                <w:szCs w:val="24"/>
                <w:lang w:eastAsia="hr-HR"/>
              </w:rPr>
              <w:t>16.000,00</w:t>
            </w:r>
            <w:r w:rsidRPr="009676F0">
              <w:rPr>
                <w:rFonts w:cs="Calibri Light" w:eastAsia="Times New Roman" w:hAnsi="Calibri Light" w:ascii="Calibri Light"/>
                <w:b/>
                <w:bCs/>
                <w:sz w:val="24"/>
                <w:szCs w:val="24"/>
                <w:lang w:eastAsia="hr-HR"/>
              </w:rPr>
              <w:fldChar w:fldCharType="end"/>
            </w:r>
          </w:p>
        </w:tc>
      </w:tr>
    </w:tbl>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6. RADNJE STEČAJNOG UPRAVITELJA PODUZETE U STEČAJNOM POSTUPKU</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numPr>
          <w:ilvl w:val="0"/>
          <w:numId w:val="1"/>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Sklopljen ugovor za obavljanje računovodstvenih poslova s tvrtkom Raptor d.o.o. Osijek, K. Zvonimira 15, OIB 20821180530 uz mjesečnu naknadu 800,00 kuna uvećano za PDV.</w:t>
      </w:r>
    </w:p>
    <w:p w:rsidRDefault="009676F0" w:rsidP="009676F0" w:rsidR="009676F0" w:rsidRPr="009676F0">
      <w:pPr>
        <w:numPr>
          <w:ilvl w:val="0"/>
          <w:numId w:val="1"/>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U roku za prijavljivanje tražbina zaprimljene su i obrađene 1 tražbina vjerovnika I. višeg isplatnog reda i 3 tražbine vjerovnika II. višeg isplatnog reda.</w:t>
      </w:r>
    </w:p>
    <w:p w:rsidRDefault="009676F0" w:rsidP="009676F0" w:rsidR="009676F0" w:rsidRPr="009676F0">
      <w:pPr>
        <w:numPr>
          <w:ilvl w:val="0"/>
          <w:numId w:val="1"/>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Stečajni upravitelj na temelju knjigovodstvene dokumentacije i stanju obrtnih sredstava (novac, potraživanja, zalihe) izražava mišljenje da dužnik nema izgleda za nastavak poslovanja.</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lastRenderedPageBreak/>
        <w:t>7. PLANIRANE RADNJE STEČAJNOG UPRAVITELJA U NAREDNOM RAZDOBLJU</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numPr>
          <w:ilvl w:val="0"/>
          <w:numId w:val="2"/>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Zatražiti obustavu i zaključenje stečajnog postupka zbog nedostatnosti stečajne mase.</w:t>
      </w:r>
    </w:p>
    <w:p w:rsidRDefault="009676F0" w:rsidP="009676F0" w:rsidR="009676F0" w:rsidRPr="009676F0">
      <w:pPr>
        <w:spacing w:lineRule="auto" w:line="240" w:after="0"/>
        <w:jc w:val="both"/>
        <w:rPr>
          <w:rFonts w:cs="Calibri" w:eastAsia="Times New Roman" w:hAnsi="Calibri" w:ascii="Calibri"/>
          <w:b/>
          <w:sz w:val="24"/>
          <w:szCs w:val="24"/>
          <w:lang w:eastAsia="hr-HR"/>
        </w:rPr>
      </w:pPr>
    </w:p>
    <w:p w:rsidRDefault="009676F0" w:rsidP="009676F0" w:rsidR="009676F0" w:rsidRPr="009676F0">
      <w:pPr>
        <w:spacing w:lineRule="auto" w:line="240" w:after="0"/>
        <w:jc w:val="both"/>
        <w:rPr>
          <w:rFonts w:cs="Calibri" w:eastAsia="Times New Roman" w:hAnsi="Calibri" w:ascii="Calibri"/>
          <w:b/>
          <w:sz w:val="24"/>
          <w:szCs w:val="24"/>
          <w:lang w:eastAsia="hr-HR"/>
        </w:rPr>
      </w:pPr>
      <w:r w:rsidRPr="009676F0">
        <w:rPr>
          <w:rFonts w:cs="Calibri" w:eastAsia="Times New Roman" w:hAnsi="Calibri" w:ascii="Calibri"/>
          <w:b/>
          <w:sz w:val="24"/>
          <w:szCs w:val="24"/>
          <w:lang w:eastAsia="hr-HR"/>
        </w:rPr>
        <w:t>8. PRIJEDLOZI ODLUKA</w:t>
      </w:r>
    </w:p>
    <w:p w:rsidRDefault="009676F0" w:rsidP="009676F0" w:rsidR="009676F0" w:rsidRPr="009676F0">
      <w:pPr>
        <w:spacing w:lineRule="auto" w:line="240" w:after="0"/>
        <w:jc w:val="both"/>
        <w:rPr>
          <w:rFonts w:cs="Calibri" w:eastAsia="Times New Roman" w:hAnsi="Calibri" w:ascii="Calibri"/>
          <w:sz w:val="24"/>
          <w:szCs w:val="24"/>
          <w:lang w:eastAsia="hr-HR"/>
        </w:rPr>
      </w:pPr>
    </w:p>
    <w:p w:rsidRDefault="009676F0" w:rsidP="009676F0" w:rsidR="009676F0" w:rsidRPr="009676F0">
      <w:p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Predlažem da na izvještajnom ročištu Skupština vjerovnika donese sljedeće odluke:</w:t>
      </w:r>
    </w:p>
    <w:p w:rsidRDefault="009676F0" w:rsidP="009676F0" w:rsidR="009676F0" w:rsidRPr="009676F0">
      <w:pPr>
        <w:numPr>
          <w:ilvl w:val="0"/>
          <w:numId w:val="3"/>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Prihvaća se Izvješće stečajnog upravitelja o gospodarskom položaju stečajnog dužnika i gospodarskim uzrocima, kao i do sada poduzete radnje stečajnog upravitelja.</w:t>
      </w:r>
    </w:p>
    <w:p w:rsidRDefault="009676F0" w:rsidP="009676F0" w:rsidR="009676F0" w:rsidRPr="009676F0">
      <w:pPr>
        <w:numPr>
          <w:ilvl w:val="0"/>
          <w:numId w:val="3"/>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Utvrđuje se da nema mogućnosti za nastavak poslovanja stečajnog dužnika (članak 217. st. 2. Stečajnog zakona).</w:t>
      </w:r>
    </w:p>
    <w:p w:rsidRDefault="009676F0" w:rsidP="009676F0" w:rsidR="009676F0" w:rsidRPr="009676F0">
      <w:pPr>
        <w:numPr>
          <w:ilvl w:val="0"/>
          <w:numId w:val="3"/>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Odobrava se sklapanje ugovora za obavljanje knjigovodstvenih poslova s tvrtkom Raptor d.o.o. Osijek, K. Zvonimira 15, OIB 20821180530 uz mjesečnu naknadu 800,00 kn uvećano za PDV.</w:t>
      </w:r>
    </w:p>
    <w:p w:rsidRDefault="009676F0" w:rsidP="009676F0" w:rsidR="009676F0" w:rsidRPr="009676F0">
      <w:pPr>
        <w:numPr>
          <w:ilvl w:val="0"/>
          <w:numId w:val="3"/>
        </w:numPr>
        <w:spacing w:lineRule="auto" w:line="240" w:after="0"/>
        <w:jc w:val="both"/>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Odobrava se angažiranje stručne osobe za arhiviranje građe stečajnog dužnika.</w:t>
      </w:r>
    </w:p>
    <w:p w:rsidRDefault="009676F0" w:rsidP="009676F0" w:rsidR="009676F0" w:rsidRPr="009676F0">
      <w:pPr>
        <w:spacing w:lineRule="auto" w:line="240" w:after="0"/>
        <w:rPr>
          <w:rFonts w:cs="Calibri" w:eastAsia="Times New Roman" w:hAnsi="Calibri" w:ascii="Calibri"/>
          <w:sz w:val="24"/>
          <w:szCs w:val="24"/>
          <w:lang w:eastAsia="hr-HR"/>
        </w:rPr>
      </w:pP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t xml:space="preserve">     STEČAJNI UPRAVITELJ</w:t>
      </w:r>
    </w:p>
    <w:p w:rsidRDefault="009676F0" w:rsidP="009676F0" w:rsidR="009676F0" w:rsidRPr="009676F0">
      <w:pPr>
        <w:spacing w:lineRule="auto" w:line="240" w:after="0"/>
        <w:rPr>
          <w:rFonts w:cs="Calibri" w:eastAsia="Times New Roman" w:hAnsi="Calibri" w:ascii="Calibri"/>
          <w:sz w:val="24"/>
          <w:szCs w:val="24"/>
          <w:lang w:eastAsia="hr-HR"/>
        </w:rPr>
      </w:pP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r>
      <w:r w:rsidRPr="009676F0">
        <w:rPr>
          <w:rFonts w:cs="Calibri" w:eastAsia="Times New Roman" w:hAnsi="Calibri" w:ascii="Calibri"/>
          <w:sz w:val="24"/>
          <w:szCs w:val="24"/>
          <w:lang w:eastAsia="hr-HR"/>
        </w:rPr>
        <w:tab/>
        <w:t>Vinko Ljubičić</w:t>
      </w:r>
    </w:p>
    <w:p w:rsidRDefault="009676F0" w:rsidR="00E529BF">
      <w:bookmarkStart w:name="_GoBack" w:id="0"/>
      <w:bookmarkEnd w:id="0"/>
    </w:p>
    <w:sectPr w:rsidR="00E529BF">
      <w:footerReference w:type="default" r:id="rId6"/>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76F0" w:rsidR="00382F40">
    <w:pPr>
      <w:pStyle w:val="Podnoje"/>
      <w:jc w:val="right"/>
    </w:pPr>
    <w:r>
      <w:fldChar w:fldCharType="begin"/>
    </w:r>
    <w:r>
      <w:instrText>PAGE   \* MERGEFORMAT</w:instrText>
    </w:r>
    <w:r>
      <w:fldChar w:fldCharType="separate"/>
    </w:r>
    <w:r>
      <w:rPr>
        <w:noProof/>
      </w:rPr>
      <w:t>1</w:t>
    </w:r>
    <w:r>
      <w:fldChar w:fldCharType="end"/>
    </w:r>
  </w:p>
  <w:p w:rsidRDefault="009676F0" w:rsidR="00382F40">
    <w:pPr>
      <w:pStyle w:val="Podnoje"/>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8B1F5A"/>
    <w:multiLevelType w:val="hybridMultilevel"/>
    <w:tmpl w:val="C8F60FE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81C37DD"/>
    <w:multiLevelType w:val="hybridMultilevel"/>
    <w:tmpl w:val="B1C8B2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B14106B"/>
    <w:multiLevelType w:val="hybridMultilevel"/>
    <w:tmpl w:val="6DCA3AE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76F0"/>
    <w:rsid w:val="00750F21"/>
    <w:rsid w:val="009676F0"/>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9676F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9676F0"/>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9676F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9676F0"/>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1527</properties:Words>
  <properties:Characters>8706</properties:Characters>
  <properties:Lines>72</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2019-02-21T14:14:00Z</dcterms:created>
  <dc:creator>Željka Vitez</dc:creator>
  <cp:lastModifiedBy>Željka Vitez</cp:lastModifiedBy>
  <dcterms:modified xmlns:xsi="http://www.w3.org/2001/XMLSchema-instance" xsi:type="dcterms:W3CDTF">2019-02-21T14:14:00Z</dcterms:modified>
  <cp:revision>1</cp:revision>
</cp:coreProperties>
</file>