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b7ac" w14:paraId="502b7a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AE1230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5 St-186/2013-202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E1230">
        <w:rPr>
          <w:rFonts w:cs="Times New Roman" w:eastAsia="Times New Roman"/>
          <w:noProof/>
          <w:lang w:eastAsia="hr-HR"/>
        </w:rPr>
        <w:t>U  I M E  R E P U B L I K E  H R V A T S K E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R J E Š E N J E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AE1230">
        <w:rPr>
          <w:rFonts w:cs="Times New Roman" w:eastAsia="Times New Roman"/>
          <w:color w:val="000000"/>
          <w:lang w:eastAsia="hr-HR"/>
        </w:rPr>
        <w:t xml:space="preserve">FARMA SENKOVAC d.o.o. za stočarstvo, proizvodnju stočne hrane, klanje stoke i preradu mesa, Novi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, Varaždinska 68, OIB: 46869916345, MBS: 010000881, 12. svibnja </w:t>
      </w:r>
      <w:r w:rsidRPr="00AE1230">
        <w:rPr>
          <w:rFonts w:cs="Times New Roman" w:eastAsia="Times New Roman"/>
          <w:noProof/>
          <w:lang w:eastAsia="hr-HR"/>
        </w:rPr>
        <w:t xml:space="preserve">2017.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r i j e š i o  j e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I. Obustavlja se i zaključuje stečajni postupak nad dužnikom </w:t>
      </w:r>
      <w:r w:rsidRPr="00AE1230">
        <w:rPr>
          <w:rFonts w:cs="Times New Roman" w:eastAsia="Times New Roman"/>
          <w:color w:val="000000"/>
          <w:lang w:eastAsia="hr-HR"/>
        </w:rPr>
        <w:t xml:space="preserve">FARMA SENKOVAC d.o.o. za stočarstvo, proizvodnju stočne hrane, klanje stoke i preradu mesa, Novi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, Varaždinska 68, OIB: 46869916345, MBS: 010000881, sa danom 12. svibnja </w:t>
      </w:r>
      <w:r w:rsidRPr="00AE1230">
        <w:rPr>
          <w:rFonts w:cs="Times New Roman" w:eastAsia="Times New Roman"/>
          <w:lang w:eastAsia="hr-HR"/>
        </w:rPr>
        <w:t>2017.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II. Stečajni upravitelj Franjo </w:t>
      </w:r>
      <w:proofErr w:type="spellStart"/>
      <w:r w:rsidRPr="00AE1230">
        <w:rPr>
          <w:rFonts w:cs="Times New Roman" w:eastAsia="Times New Roman"/>
          <w:lang w:eastAsia="hr-HR"/>
        </w:rPr>
        <w:t>Otročak</w:t>
      </w:r>
      <w:proofErr w:type="spellEnd"/>
      <w:r w:rsidRPr="00AE1230">
        <w:rPr>
          <w:rFonts w:cs="Times New Roman" w:eastAsia="Times New Roman"/>
          <w:lang w:eastAsia="hr-HR"/>
        </w:rPr>
        <w:t xml:space="preserve"> iz Lukača će nakon zaključenja stečajnog postupka zastupati stečajnu masu u skladu sa odredbama Stečajnog zakona.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III. Nakon pravomoćnosti ovoga rješenja stečajni dužnik će se brisati iz sudskog registra.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IV. Ovo rješenje objaviti će se na e-oglasnoj ploči ovog suda.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Obrazloženje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Rješenjem poslovni br. </w:t>
      </w:r>
      <w:r w:rsidRPr="00AE1230">
        <w:rPr>
          <w:rFonts w:cs="Times New Roman" w:eastAsia="Times New Roman"/>
          <w:color w:val="000000"/>
          <w:lang w:eastAsia="hr-HR"/>
        </w:rPr>
        <w:t>5 St-186/2013-8</w:t>
      </w:r>
      <w:r w:rsidRPr="00AE1230">
        <w:rPr>
          <w:rFonts w:cs="Times New Roman" w:eastAsia="Times New Roman"/>
          <w:lang w:eastAsia="hr-HR"/>
        </w:rPr>
        <w:t xml:space="preserve"> </w:t>
      </w:r>
      <w:r w:rsidRPr="00AE1230">
        <w:rPr>
          <w:rFonts w:cs="Times New Roman" w:eastAsia="Times New Roman"/>
          <w:color w:val="000000"/>
          <w:lang w:eastAsia="hr-HR"/>
        </w:rPr>
        <w:t>od 26. srpnja 2013.</w:t>
      </w:r>
      <w:r w:rsidRPr="00AE1230">
        <w:rPr>
          <w:rFonts w:cs="Times New Roman" w:eastAsia="Times New Roman"/>
          <w:lang w:eastAsia="hr-HR"/>
        </w:rPr>
        <w:t xml:space="preserve"> otvoren je stečajni postupak nad dužnikom </w:t>
      </w:r>
      <w:r w:rsidRPr="00AE1230">
        <w:rPr>
          <w:rFonts w:cs="Times New Roman" w:eastAsia="Times New Roman"/>
          <w:color w:val="000000"/>
          <w:lang w:eastAsia="hr-HR"/>
        </w:rPr>
        <w:t xml:space="preserve">FARMA SENKOVAC d.o.o. za stočarstvo, proizvodnju stočne hrane, klanje stoke i preradu mesa, Novi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>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Stečajni upravitelj sastavio je izvješće o gospodarskom položaju stečajnog dužnika (list 576-577) u kojem je dao podatke o imovini dužnika (nekretninama, pokretninama, potraživanjima i obvezama).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Tijekom postupka ispitane su sve prijavljene tražbine i utvrđene tražbine prvog višeg isplatnog reda u ukupnom iznosu od 5.821.084,99 kn te tražbine drugog višeg isplatnog reda u ukupnom iznosu od 68.417.713,25 kn. Osporene su tražbine vjerovnika drugog višeg isplatnog reda u iznosu od 122.351,56  kn. Stečajni upravitelj sastavio je tablicu </w:t>
      </w:r>
      <w:proofErr w:type="spellStart"/>
      <w:r w:rsidRPr="00AE1230">
        <w:rPr>
          <w:rFonts w:cs="Times New Roman" w:eastAsia="Times New Roman"/>
          <w:lang w:eastAsia="hr-HR"/>
        </w:rPr>
        <w:t>razlučnih</w:t>
      </w:r>
      <w:proofErr w:type="spellEnd"/>
      <w:r w:rsidRPr="00AE1230">
        <w:rPr>
          <w:rFonts w:cs="Times New Roman" w:eastAsia="Times New Roman"/>
          <w:lang w:eastAsia="hr-HR"/>
        </w:rPr>
        <w:t xml:space="preserve"> prava (list 551-552), u kojoj je naveo vjerovnike s pravom odvojenog namirenja, iznos </w:t>
      </w:r>
      <w:r w:rsidRPr="00AE1230">
        <w:rPr>
          <w:rFonts w:cs="Times New Roman" w:eastAsia="Times New Roman"/>
          <w:lang w:eastAsia="hr-HR"/>
        </w:rPr>
        <w:lastRenderedPageBreak/>
        <w:t xml:space="preserve">tražbine pojedinog vjerovnika, osnovu </w:t>
      </w:r>
      <w:proofErr w:type="spellStart"/>
      <w:r w:rsidRPr="00AE1230">
        <w:rPr>
          <w:rFonts w:cs="Times New Roman" w:eastAsia="Times New Roman"/>
          <w:lang w:eastAsia="hr-HR"/>
        </w:rPr>
        <w:t>razlučnog</w:t>
      </w:r>
      <w:proofErr w:type="spellEnd"/>
      <w:r w:rsidRPr="00AE1230">
        <w:rPr>
          <w:rFonts w:cs="Times New Roman" w:eastAsia="Times New Roman"/>
          <w:lang w:eastAsia="hr-HR"/>
        </w:rPr>
        <w:t xml:space="preserve"> prava i predmet (imovinu) na kojem </w:t>
      </w:r>
      <w:proofErr w:type="spellStart"/>
      <w:r w:rsidRPr="00AE1230">
        <w:rPr>
          <w:rFonts w:cs="Times New Roman" w:eastAsia="Times New Roman"/>
          <w:lang w:eastAsia="hr-HR"/>
        </w:rPr>
        <w:t>razlučno</w:t>
      </w:r>
      <w:proofErr w:type="spellEnd"/>
      <w:r w:rsidRPr="00AE1230">
        <w:rPr>
          <w:rFonts w:cs="Times New Roman" w:eastAsia="Times New Roman"/>
          <w:lang w:eastAsia="hr-HR"/>
        </w:rPr>
        <w:t xml:space="preserve"> pravo postoji.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Dužnikovu stečajnu masu sačinjavala je slijedeća imovina: nekretnine </w:t>
      </w:r>
      <w:r w:rsidRPr="00AE1230">
        <w:rPr>
          <w:rFonts w:cs="Times New Roman" w:eastAsia="Times New Roman"/>
          <w:color w:val="000000"/>
          <w:lang w:eastAsia="hr-HR"/>
        </w:rPr>
        <w:t xml:space="preserve">upisane su u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817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 čk.br. 812/1 6 zgrada, ekonomsko dvorište sa 11338 m2 (6 zgrada sa 3158 m2, ekonomsko dvorište sa 8180 m2),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845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841/2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2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zgrade 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ekon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9357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821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, čk.br. 848/1 5 zgrada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13925 m2, čk.br. 848/2 3 zgrade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10023 m2, čk.br. 848/3 4 zgrade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7123 m2,  čk.br. 848/4 3 zgrade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9667 m2, čk.br. 848/5 3 zgrade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14322 m2 i čk.br. 848/6 2 zgrade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6606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17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808/1 šuma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21111 m2, čk.br. 808/2 šuma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20384 m2, čk.br. 808/3 pašnjak sa 9050 m2, čk.br. 809 kanalić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2131 m2, čk.br. 833/1 zgrada, dvor, 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11931 m2, čk.br. 833/2 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17702 m2, čk.br. 834 zgrada trafostanice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7 m2, čk.br. 835 ekonomsko dvorište sa 13004 m2, čk.br. 836 kanal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2594 m2, čk.br. 837/2 parkiralište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1875 m2, čk.br. 842/1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1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zgrada, ekonomsko dvorište sa 5676 m2 (1 zgrada sa 98 m2, ekonomsko dvorište sa 5578 m2), čk.br. 842/2 vodotoranj,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ekon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2056 m2 (vodotoranj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1626 m2, ekonomsko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430 m2), čk.br. 843 2 zgrade i 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28709 m2, čk.br. 844 trafostanica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8 m2, čk.br. 845 kanal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1239 m2, čk.br. 846 oranica, 2 zgrade,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13497 m2 (oranica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12963 m2, 2 zgrade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34 m2,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500 m2), čk.br. 847 zgrada i dvor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2916 m2, čk.br. 852 neplodno (lagune)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36861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843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841/5 4 zgrade, dvor, 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27351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847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841/4 6 zgrada 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ekon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16740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853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812/2 3 zgrade, dvor, pašnjak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8524 m2, čk.br. 812/3 ekonomsko dvorište sa 5232 m2, čk.br. 812/4 neplodno, graba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9659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846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841/3 5 zgrada i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ekon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21989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908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825/1 zgrade, dvor, ekonomsko dvorište sa 17457 m2 (zgrade sa 1615 m2, dvor sa 500 m2, ekonomsko dvorište sa 15342 m2), čk.br. 828 zgrade, dvor, pašnjak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15872 m2, čk.br. 829 zgrade, dvor, oranica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14779 m2, čk.br. 831 zgrade, dvor, livada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15357 m2,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844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841/1 3 zgrade,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ekon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11851 m2 (3 zgrade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1990 m2, ekonomsko dvorište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Senkovac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sa 9861 m2) te </w:t>
      </w:r>
      <w:r w:rsidRPr="00AE1230">
        <w:rPr>
          <w:rFonts w:cs="Times New Roman" w:eastAsia="Times New Roman"/>
          <w:noProof/>
          <w:lang w:eastAsia="hr-HR"/>
        </w:rPr>
        <w:t>p</w:t>
      </w:r>
      <w:r w:rsidRPr="00AE1230">
        <w:rPr>
          <w:rFonts w:cs="Times New Roman" w:eastAsia="Times New Roman"/>
          <w:lang w:eastAsia="hr-HR"/>
        </w:rPr>
        <w:t>okretnine (vozila, strojevi i životinje) i potraživanja.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Uvidom u zemljišne knjige i temeljem dostavljenih obavijesti o postojanju </w:t>
      </w:r>
      <w:proofErr w:type="spellStart"/>
      <w:r w:rsidRPr="00AE1230">
        <w:rPr>
          <w:rFonts w:cs="Times New Roman" w:eastAsia="Times New Roman"/>
          <w:lang w:eastAsia="hr-HR"/>
        </w:rPr>
        <w:t>razlučnih</w:t>
      </w:r>
      <w:proofErr w:type="spellEnd"/>
      <w:r w:rsidRPr="00AE1230">
        <w:rPr>
          <w:rFonts w:cs="Times New Roman" w:eastAsia="Times New Roman"/>
          <w:lang w:eastAsia="hr-HR"/>
        </w:rPr>
        <w:t xml:space="preserve"> prava na nekretninama stečajnog dužnika utvrđeno je postojanje </w:t>
      </w:r>
      <w:proofErr w:type="spellStart"/>
      <w:r w:rsidRPr="00AE1230">
        <w:rPr>
          <w:rFonts w:cs="Times New Roman" w:eastAsia="Times New Roman"/>
          <w:lang w:eastAsia="hr-HR"/>
        </w:rPr>
        <w:t>razlučnih</w:t>
      </w:r>
      <w:proofErr w:type="spellEnd"/>
      <w:r w:rsidRPr="00AE1230">
        <w:rPr>
          <w:rFonts w:cs="Times New Roman" w:eastAsia="Times New Roman"/>
          <w:lang w:eastAsia="hr-HR"/>
        </w:rPr>
        <w:t xml:space="preserve"> prava na nekretninama i to na nekretninama upisanim u </w:t>
      </w:r>
      <w:r w:rsidRPr="00AE1230">
        <w:rPr>
          <w:rFonts w:cs="Times New Roman" w:eastAsia="Times New Roman"/>
          <w:noProof/>
          <w:lang w:eastAsia="hr-HR"/>
        </w:rPr>
        <w:t xml:space="preserve">zk.ul. 908 k.o. Medinci u korist </w:t>
      </w:r>
      <w:r w:rsidRPr="00AE1230">
        <w:rPr>
          <w:rFonts w:cs="Times New Roman" w:eastAsia="Times New Roman"/>
          <w:lang w:eastAsia="hr-HR"/>
        </w:rPr>
        <w:t xml:space="preserve">ITS SOPOR d.o.o. Ljubljana, </w:t>
      </w:r>
      <w:proofErr w:type="spellStart"/>
      <w:r w:rsidRPr="00AE1230">
        <w:rPr>
          <w:rFonts w:cs="Times New Roman" w:eastAsia="Times New Roman"/>
          <w:lang w:eastAsia="hr-HR"/>
        </w:rPr>
        <w:t>Kotnikova</w:t>
      </w:r>
      <w:proofErr w:type="spellEnd"/>
      <w:r w:rsidRPr="00AE1230">
        <w:rPr>
          <w:rFonts w:cs="Times New Roman" w:eastAsia="Times New Roman"/>
          <w:lang w:eastAsia="hr-HR"/>
        </w:rPr>
        <w:t xml:space="preserve"> 24, Republika Slovenija, a na ostalim nekretninama u korist HYPO ALPE ADRIA BANK d.d. Zagreb, koja je Ugovorom o ustupu tražbina od 30. travnja 2014. svoja nenamirena potraživanja ustupila cesionaru  H-ABDUCO d.o.o. Zagreb, o čemu je obaviješten ovaj sud podneskom zaprimljenim na spis 29. rujna 2014. (list 862-873).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   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Nekretnine stečajnog dužnika su, sukladno odredbi čl.164. st.1. i 3. Stečajnog zakona (Narodne novine br. </w:t>
      </w:r>
      <w:r w:rsidRPr="00AE1230">
        <w:rPr>
          <w:rFonts w:cs="Times New Roman" w:eastAsia="Times New Roman"/>
          <w:noProof/>
          <w:szCs w:val="20"/>
          <w:lang w:eastAsia="hr-HR" w:val="en-GB"/>
        </w:rPr>
        <w:t xml:space="preserve">44/96., 29/99., 123/03., 82/06., 116/10., 25/12., 133/12. i 71/15., dalje: </w:t>
      </w:r>
      <w:r w:rsidRPr="00AE1230">
        <w:rPr>
          <w:rFonts w:cs="Times New Roman" w:eastAsia="Times New Roman"/>
          <w:lang w:eastAsia="hr-HR"/>
        </w:rPr>
        <w:t xml:space="preserve">SZ), prodane u stečajnom postupku uz odgovarajuću primjenu pravila o ovrsi </w:t>
      </w:r>
      <w:proofErr w:type="gramStart"/>
      <w:r w:rsidRPr="00AE1230">
        <w:rPr>
          <w:rFonts w:cs="Times New Roman" w:eastAsia="Times New Roman"/>
          <w:lang w:eastAsia="hr-HR"/>
        </w:rPr>
        <w:t>na</w:t>
      </w:r>
      <w:proofErr w:type="gramEnd"/>
      <w:r w:rsidRPr="00AE1230">
        <w:rPr>
          <w:rFonts w:cs="Times New Roman" w:eastAsia="Times New Roman"/>
          <w:lang w:eastAsia="hr-HR"/>
        </w:rPr>
        <w:t xml:space="preserve"> nekretninama.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AE1230">
        <w:rPr>
          <w:rFonts w:cs="Times New Roman" w:eastAsia="Times New Roman"/>
          <w:color w:val="000000"/>
          <w:lang w:eastAsia="hr-HR"/>
        </w:rPr>
        <w:lastRenderedPageBreak/>
        <w:t xml:space="preserve">Na javnoj dražbi održanoj 6. veljače 2015. nekretnine upisane u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zk.ul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. 908 k.o.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Medinci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čk.br. 825/1, čk.br. 828, čk.br. 829 i čk.br. 831 prodane su kupcu Velimiru </w:t>
      </w:r>
      <w:proofErr w:type="spellStart"/>
      <w:r w:rsidRPr="00AE1230">
        <w:rPr>
          <w:rFonts w:cs="Times New Roman" w:eastAsia="Times New Roman"/>
          <w:color w:val="000000"/>
          <w:lang w:eastAsia="hr-HR"/>
        </w:rPr>
        <w:t>Žaku</w:t>
      </w:r>
      <w:proofErr w:type="spellEnd"/>
      <w:r w:rsidRPr="00AE1230">
        <w:rPr>
          <w:rFonts w:cs="Times New Roman" w:eastAsia="Times New Roman"/>
          <w:color w:val="000000"/>
          <w:lang w:eastAsia="hr-HR"/>
        </w:rPr>
        <w:t xml:space="preserve"> iz Zagreba, Opatička ulica 16, za cijenu od 35.000,00 kn.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color w:val="000000"/>
          <w:lang w:eastAsia="hr-HR"/>
        </w:rPr>
        <w:t xml:space="preserve">Ostale nekretnine </w:t>
      </w:r>
      <w:r w:rsidRPr="00AE1230">
        <w:rPr>
          <w:rFonts w:cs="Times New Roman" w:eastAsia="Times New Roman"/>
          <w:lang w:eastAsia="hr-HR"/>
        </w:rPr>
        <w:t xml:space="preserve">stečajnog dužnika, upisane u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817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812/1, 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845 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  čk.br. 841/2 ,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821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848/2, čk.br. 848/3,  čk.br. 848/4, čk.br. 848/5 i čk.br. 848/6,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17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 čk.br. 808/1, čk.br. 808/2, čk.br. 808/3, čk.br. 809, čk.br. 833/1, čk.br. 833/2, čk.br. 834, čk.br. 835, čk.br. 836, čk.br. 837/2 , čk.br. 842/1, čk.br. 842/2, čk.br. 843, čk.br. 844, čk.br. 845 , čk.br. 846, čk.br. 847 i čk.br. 852,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843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841/5, 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847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841/4,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853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812/2, čk.br. 812/3,  čk.br. 812/4, 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846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841/3,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891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849/1, čk.br. 849/2, čk.br. 849/3 i čk.br. 849/4 te </w:t>
      </w:r>
      <w:proofErr w:type="spellStart"/>
      <w:r w:rsidRPr="00AE1230">
        <w:rPr>
          <w:rFonts w:cs="Times New Roman" w:eastAsia="Times New Roman"/>
          <w:lang w:eastAsia="hr-HR"/>
        </w:rPr>
        <w:t>zk.ul</w:t>
      </w:r>
      <w:proofErr w:type="spellEnd"/>
      <w:r w:rsidRPr="00AE1230">
        <w:rPr>
          <w:rFonts w:cs="Times New Roman" w:eastAsia="Times New Roman"/>
          <w:lang w:eastAsia="hr-HR"/>
        </w:rPr>
        <w:t xml:space="preserve">. 844 k.o. </w:t>
      </w:r>
      <w:proofErr w:type="spellStart"/>
      <w:r w:rsidRPr="00AE1230">
        <w:rPr>
          <w:rFonts w:cs="Times New Roman" w:eastAsia="Times New Roman"/>
          <w:lang w:eastAsia="hr-HR"/>
        </w:rPr>
        <w:t>Medinci</w:t>
      </w:r>
      <w:proofErr w:type="spellEnd"/>
      <w:r w:rsidRPr="00AE1230">
        <w:rPr>
          <w:rFonts w:cs="Times New Roman" w:eastAsia="Times New Roman"/>
          <w:lang w:eastAsia="hr-HR"/>
        </w:rPr>
        <w:t xml:space="preserve">, čk.br. 841/1, prodane su na ročištu za javnu dražbu održanom 22. siječnja 2016. kupcu BAN PRODUKT d.o.o. </w:t>
      </w:r>
      <w:proofErr w:type="spellStart"/>
      <w:r w:rsidRPr="00AE1230">
        <w:rPr>
          <w:rFonts w:cs="Times New Roman" w:eastAsia="Times New Roman"/>
          <w:lang w:eastAsia="hr-HR"/>
        </w:rPr>
        <w:t>Kaštelir</w:t>
      </w:r>
      <w:proofErr w:type="spellEnd"/>
      <w:r w:rsidRPr="00AE1230">
        <w:rPr>
          <w:rFonts w:cs="Times New Roman" w:eastAsia="Times New Roman"/>
          <w:lang w:eastAsia="hr-HR"/>
        </w:rPr>
        <w:t xml:space="preserve">, Labinci 140, koji nije platio </w:t>
      </w:r>
      <w:proofErr w:type="spellStart"/>
      <w:r w:rsidRPr="00AE1230">
        <w:rPr>
          <w:rFonts w:cs="Times New Roman" w:eastAsia="Times New Roman"/>
          <w:lang w:eastAsia="hr-HR"/>
        </w:rPr>
        <w:t>kupovninu</w:t>
      </w:r>
      <w:proofErr w:type="spellEnd"/>
      <w:r w:rsidRPr="00AE1230">
        <w:rPr>
          <w:rFonts w:cs="Times New Roman" w:eastAsia="Times New Roman"/>
          <w:lang w:eastAsia="hr-HR"/>
        </w:rPr>
        <w:t xml:space="preserve"> pa je rješenjem od 19. travnja 2016. oglašena nevažećom prodaja nekretnina stečajnog dužnika kupcu BAN PRODUKT d.o.o. </w:t>
      </w:r>
      <w:proofErr w:type="spellStart"/>
      <w:r w:rsidRPr="00AE1230">
        <w:rPr>
          <w:rFonts w:cs="Times New Roman" w:eastAsia="Times New Roman"/>
          <w:lang w:eastAsia="hr-HR"/>
        </w:rPr>
        <w:t>Kaštelir</w:t>
      </w:r>
      <w:proofErr w:type="spellEnd"/>
      <w:r w:rsidRPr="00AE1230">
        <w:rPr>
          <w:rFonts w:cs="Times New Roman" w:eastAsia="Times New Roman"/>
          <w:lang w:eastAsia="hr-HR"/>
        </w:rPr>
        <w:t xml:space="preserve"> i nekretnine su za </w:t>
      </w:r>
      <w:proofErr w:type="spellStart"/>
      <w:r w:rsidRPr="00AE1230">
        <w:rPr>
          <w:rFonts w:cs="Times New Roman" w:eastAsia="Times New Roman"/>
          <w:lang w:eastAsia="hr-HR"/>
        </w:rPr>
        <w:t>kupovninu</w:t>
      </w:r>
      <w:proofErr w:type="spellEnd"/>
      <w:r w:rsidRPr="00AE1230">
        <w:rPr>
          <w:rFonts w:cs="Times New Roman" w:eastAsia="Times New Roman"/>
          <w:lang w:eastAsia="hr-HR"/>
        </w:rPr>
        <w:t xml:space="preserve"> u iznosu od 3.800.000,00 kn dosuđene kupcu AGRO LOGISTIKA d.o.o. Bjelovar, Cvjetna 29, koji je također sudjelovao na dražbi 22. siječnja 2016.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AE1230">
        <w:rPr>
          <w:rFonts w:cs="Times New Roman" w:eastAsia="Times New Roman"/>
          <w:lang w:eastAsia="hr-HR"/>
        </w:rPr>
        <w:t>Razlučni</w:t>
      </w:r>
      <w:proofErr w:type="spellEnd"/>
      <w:r w:rsidRPr="00AE1230">
        <w:rPr>
          <w:rFonts w:cs="Times New Roman" w:eastAsia="Times New Roman"/>
          <w:lang w:eastAsia="hr-HR"/>
        </w:rPr>
        <w:t xml:space="preserve"> vjerovnici su nakon prodaje nekretnina djelomično namireni i to ITS SOPOR d.o.o. Ljubljana sa iznosom od 33.250,00 kn i H-ABDUCO d.o.o. Zagreb sa iznosom od 2.441.009,50 kn.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Prodajom životinja ostvaren je prihod od 4.084.052,68 kn.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Ostale pokretnine (strojevi i vozila) prodane su prikupljanjem pisanih ponuda i na javnim dražbama, za cijenu od ukupno 1.794.146,00 kn.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           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Vjerovnik HYPO ALPE ADRIA BANK d.d. Zagreb imao je </w:t>
      </w:r>
      <w:proofErr w:type="spellStart"/>
      <w:r w:rsidRPr="00AE1230">
        <w:rPr>
          <w:rFonts w:cs="Times New Roman" w:eastAsia="Times New Roman"/>
          <w:lang w:eastAsia="hr-HR"/>
        </w:rPr>
        <w:t>razlučno</w:t>
      </w:r>
      <w:proofErr w:type="spellEnd"/>
      <w:r w:rsidRPr="00AE1230">
        <w:rPr>
          <w:rFonts w:cs="Times New Roman" w:eastAsia="Times New Roman"/>
          <w:lang w:eastAsia="hr-HR"/>
        </w:rPr>
        <w:t xml:space="preserve"> pravo na pokretninama - traktoru JD 4755, traktoru JD 7810, teretnom automobilu IVECO ML 120E18 EURO CARGO, traktoru ZETOR, kamionu MERCEDES BENZ ACTROS, utovarivaču MANITOU </w:t>
      </w:r>
      <w:proofErr w:type="spellStart"/>
      <w:r w:rsidRPr="00AE1230">
        <w:rPr>
          <w:rFonts w:cs="Times New Roman" w:eastAsia="Times New Roman"/>
          <w:lang w:eastAsia="hr-HR"/>
        </w:rPr>
        <w:t>mt</w:t>
      </w:r>
      <w:proofErr w:type="spellEnd"/>
      <w:r w:rsidRPr="00AE1230">
        <w:rPr>
          <w:rFonts w:cs="Times New Roman" w:eastAsia="Times New Roman"/>
          <w:lang w:eastAsia="hr-HR"/>
        </w:rPr>
        <w:t xml:space="preserve">-835 i teretnom automobilu MERCEDES 110 CDI. Navedene je pokretnine unovčio stečajni upravitelj 13. siječnja 2014. i 16. svibnja 2014., prikupljanjem pisanih ponuda, za iznos od ukupno 387.607,25 kn (sa uračunatim porezom na dodanu vrijednost) te je </w:t>
      </w:r>
      <w:proofErr w:type="spellStart"/>
      <w:r w:rsidRPr="00AE1230">
        <w:rPr>
          <w:rFonts w:cs="Times New Roman" w:eastAsia="Times New Roman"/>
          <w:lang w:eastAsia="hr-HR"/>
        </w:rPr>
        <w:t>razlučnom</w:t>
      </w:r>
      <w:proofErr w:type="spellEnd"/>
      <w:r w:rsidRPr="00AE1230">
        <w:rPr>
          <w:rFonts w:cs="Times New Roman" w:eastAsia="Times New Roman"/>
          <w:lang w:eastAsia="hr-HR"/>
        </w:rPr>
        <w:t xml:space="preserve"> vjerovniku, nakon odbitka poreza na dodanu vrijednost i troškova unovčenja od 5%, dana 6. veljače 2016.,  isplaćen iznos od 278.504,85 kn.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Tijekom stečajnog postupka dužniku su isplaćeni državni poticaji za 2013. u iznosu od 1.120.000,00 kn.   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Nakon unovčenja pokretnina i prihoda od državnih poticaja provedena je djelomična dioba, kojom su namireni vjerovnici prvog višeg isplatnog reda sa 23% utvrđenih tražbina, što je ukupno bilo 1.338.849,55 kn.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u w:val="single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Bivšim radnicima stečajnog dužnika je sukladno odredbama Zakona o osiguranju radničkih potraživanja u slučaju stečaja poslodavca ("Narodne novine" broj 86/08, 80/13 i 82/15) isplaćeno 1.524.122,45 kn, doznačenih od strane Agencije za osiguranje radničkih potraživanja u slučaju stečaja poslodavca (dalje: Agencija). Djelomičnom diobom, izvršenom nakon prodaje pokretnina, Agenciji je 25. ožujka 2014. isplaćen iznos od 303.508,23 kn. Pravomoćnim rješenjem suda od </w:t>
      </w:r>
      <w:r w:rsidRPr="00AE1230">
        <w:rPr>
          <w:rFonts w:cs="Times New Roman" w:eastAsia="Times New Roman"/>
          <w:noProof/>
          <w:lang w:eastAsia="hr-HR"/>
        </w:rPr>
        <w:t xml:space="preserve">2. ožujka 2017. ispravljena je tablica stečajnog suca o </w:t>
      </w:r>
      <w:r w:rsidRPr="00AE1230">
        <w:rPr>
          <w:rFonts w:cs="Times New Roman" w:eastAsia="Times New Roman"/>
          <w:noProof/>
          <w:lang w:eastAsia="hr-HR"/>
        </w:rPr>
        <w:lastRenderedPageBreak/>
        <w:t xml:space="preserve">ispitanim tražbinama od 10. listopada 2013. i rješenje o utvrđenim tražbinama br. St-186/2013-38 od 21. listopada 2013.  Sukladno </w:t>
      </w:r>
      <w:r w:rsidRPr="00AE1230">
        <w:rPr>
          <w:rFonts w:cs="Times New Roman" w:eastAsia="Times New Roman"/>
          <w:lang w:eastAsia="hr-HR"/>
        </w:rPr>
        <w:t xml:space="preserve">čl.21. Zakona o osiguranju potraživanja radnika u slučaju stečaja poslodavca na Agenciju su s danom isplate prešla sva procesna prava stečajnih vjerovnika te je u odnosu na radnike kojima je potraživanje djelomično podmireno izvršen ispravak utvrđenih iznosa tražbine, a Agencija je utvrđena stečajnim vjerovnikom I višeg isplatnog reda za ukupan iznos potraživanja od 1.220.614,22 kn.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Tijekom stečajnog postupka u cijelosti su namireni nastali troškovi stečajnog postupka (nagrada stečajnog upravitelja u bruto iznosu od 518.073,00 kn).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Ostale obveze stečajne mase (troškove proizvodnje - ishrane i uzgoja stoke, zaštitarske službe, komunalne naknade, koncesije za zemlju, zbrinjavanja arhive, električne energije, telefona, plaćanja računa, osiguranja imovine i plaće radnika) stečajni upravitelj je, sukladno  odredbi čl.85. st.2. SZ-a, namirivao redom kojim su dospijevale. Raspoloživim sredstvima od 6.223.511,79 kn namireno je 86,56 % obveza stečajne mase, dok je ostalo nenamireno 13,44 %.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Stečajni upravitelj je podneskom od 8. veljače 2017. obavijestio sud da je u Narodnim novinama br. 7/2017 od 25. siječnja 2017. objavljena prijava nedostatnosti stečajne mase za izmirenje ostalih obveza stečajne mase i pozvani su vjerovnici u roku od 8 dana dostaviti svoje mišljenje o prijavi. Istaknuo je da je u vezi sa oglasom zaprimio jedino očitovanje Agencije za osiguranje radničkih potraživanja u slučaju stečaja poslodavca koja je tražila ispravak rješenja o utvrđenim tražbinama.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Podneskom od 14. veljače 2017. stečajni upravitelj je dostavio završno izvješće i završni račun (1112-1114), koji je dopunio 25. travnja 2017. (list 1128-1130).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U završnom računu stečajni upravitelj je dao račun prihoda i rashoda te izvještaj o tijeku stečajnog postupka, predmetima stečajne mase i njihovom unovčenju, obvezama i namirenju obveza. Naveo je da je na računu dužnika preostao iznos od 2.150,00 kn, kojim će se podmiriti naknada banci za održavanje računa. Kako je unovčena sva imovina, a nema postupaka u tijeku iz kojih bi se moglo očekivati ostvarenje prihoda radi namirenja ostalih obveza stečajne mase, nema sredstava za podmirenje tih obveza u cijelosti.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Odredbom čl.87.a SZ-a propisano je da je tijekom cijeloga stečajnog postupka stečajni upravitelj dužan voditi računa o tome da se iz stečajne mase osiguraju sredstva potrebna za namirenje predvidivih obveza stečajne mase, a prilikom isplate pojedinih obveza stečajne mase dužan je izdvojiti sredstva potrebna za pokriće onih takvih obveza za koje se osnovano može pretpostaviti da bi ih trebalo namiriti u budućnosti.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Budući da je unovčena sva imovina stečajnog dužnika i nema dostatnih  sredstava za namirenje ostalih obveza stečajne mase, sud smatra da su ispunjeni uvjeti za obustavu i zaključenje stečajnog postupka te je primjenom čl.196. u svezi čl.207. SZ riješeno kao u </w:t>
      </w:r>
      <w:proofErr w:type="spellStart"/>
      <w:r w:rsidRPr="00AE1230">
        <w:rPr>
          <w:rFonts w:cs="Times New Roman" w:eastAsia="Times New Roman"/>
          <w:lang w:eastAsia="hr-HR"/>
        </w:rPr>
        <w:t>toč.I</w:t>
      </w:r>
      <w:proofErr w:type="spellEnd"/>
      <w:r w:rsidRPr="00AE1230">
        <w:rPr>
          <w:rFonts w:cs="Times New Roman" w:eastAsia="Times New Roman"/>
          <w:lang w:eastAsia="hr-HR"/>
        </w:rPr>
        <w:t>. izreke.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Sukladno čl.25. st.13. i čl.204. st. 3. SZ riješeno je kao u </w:t>
      </w:r>
      <w:proofErr w:type="spellStart"/>
      <w:r w:rsidRPr="00AE1230">
        <w:rPr>
          <w:rFonts w:cs="Times New Roman" w:eastAsia="Times New Roman"/>
          <w:lang w:eastAsia="hr-HR"/>
        </w:rPr>
        <w:t>toč.II</w:t>
      </w:r>
      <w:proofErr w:type="spellEnd"/>
      <w:r w:rsidRPr="00AE1230">
        <w:rPr>
          <w:rFonts w:cs="Times New Roman" w:eastAsia="Times New Roman"/>
          <w:lang w:eastAsia="hr-HR"/>
        </w:rPr>
        <w:t xml:space="preserve">. izreke.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Ako se nakon obustave postupka pronađu predmeti stečajne mase, sud će na prijedlog stečajnog upravitelja, vjerovnika ili po službenoj dužnosti, odrediti provođenje naknadne diobe (čl.207. st.3. SZ).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AE1230">
        <w:rPr>
          <w:rFonts w:cs="Times New Roman" w:eastAsia="Times New Roman"/>
          <w:lang w:eastAsia="hr-HR"/>
        </w:rPr>
        <w:t>Toč</w:t>
      </w:r>
      <w:proofErr w:type="spellEnd"/>
      <w:r w:rsidRPr="00AE1230">
        <w:rPr>
          <w:rFonts w:cs="Times New Roman" w:eastAsia="Times New Roman"/>
          <w:lang w:eastAsia="hr-HR"/>
        </w:rPr>
        <w:t>. III. i IV. izreke temelje se na odredbi čl.196. st.2. i 3. SZ.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U Bjelovaru, 12. svibnja 2017.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STEČAJNI SUDAC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MARIJA PETRINA KUBICA v.r.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123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E1230" w:rsidP="00AE1230" w:rsidR="00AE1230" w:rsidRPr="00AE12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123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E1230" w:rsidP="00AE1230" w:rsidR="00AE1230" w:rsidRPr="00AE12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123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 xml:space="preserve">       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1230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1230" w:rsidP="00AE1230" w:rsidR="00AE1230" w:rsidRPr="00AE12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230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St-186/2013-203</izvorni_sadrzaj>
    <derivirana_varijabla naziv="DomainObject.Oznaka_1">St-186/2013-203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HR04, OIB 85821130368</izvorni_sadrzaj>
    <derivirana_varijabla naziv="DomainObject.Predmet.StrankaFormatedOIB_1">  FINA, REGIONALNI CENTAR: ZAGREB, Nagodbeno vijeće: HR04, OIB 85821130368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OIB 85821130368, Albrechtova 42, 10000 Zagreb</izvorni_sadrzaj>
    <derivirana_varijabla naziv="DomainObject.Predmet.StrankaFormatedWithAdressOIB_1"> FINA, REGIONALNI CENTAR: ZAGREB, Nagodbeno vijeće: HR04, OIB 85821130368,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OIB 85821130368, Albrechtova 42,10000 Zagreb</izvorni_sadrzaj>
    <derivirana_varijabla naziv="DomainObject.Predmet.StrankaWithAdressOIB_1">FINA, REGIONALNI CENTAR: ZAGREB, Nagodbeno vijeće: HR04, OIB 85821130368,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HR04, OIB 85821130368</izvorni_sadrzaj>
    <derivirana_varijabla naziv="DomainObject.Predmet.StrankaNazivFormatedOIB_1">FINA, REGIONALNI CENTAR: ZAGREB, Nagodbeno vijeće: HR04,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HR04, OIB 85821130368</item>
    </izvorni_sadrzaj>
    <derivirana_varijabla naziv="DomainObject.Predmet.StrankaListFormatedOIB_1">
      <item>FINA, REGIONALNI CENTAR: ZAGREB, Nagodbeno vijeće: HR04, OIB 85821130368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OIB 85821130368, Albrechtova 42, 10000 Zagreb</item>
    </izvorni_sadrzaj>
    <derivirana_varijabla naziv="DomainObject.Predmet.StrankaListFormatedWithAdressOIB_1">
      <item>FINA, REGIONALNI CENTAR: ZAGREB, Nagodbeno vijeće: HR04, OIB 85821130368,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HR04, OIB 85821130368</item>
    </izvorni_sadrzaj>
    <derivirana_varijabla naziv="DomainObject.Predmet.StrankaListNazivFormatedOIB_1">
      <item>FINA, REGIONALNI CENTAR: ZAGREB, Nagodbeno vijeće: HR04, OIB 85821130368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St-186/2013-203</izvorni_sadrzaj>
    <derivirana_varijabla naziv="DomainObject.PoslovniBrojDokumenta_1">St-186/2013-203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OIB 85821130368, Albrechtova 42, 10000 Zagreb</izvorni_sadrzaj>
    <derivirana_varijabla naziv="DomainObject.Predmet.StrankaIDrugiAdressOIB_1">FINA, REGIONALNI CENTAR: ZAGREB, Nagodbeno vijeće: HR04, OIB 85821130368,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A3D4E-3268-43D4-8C87-D31F2EE1B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1938</properties:Words>
  <properties:Characters>10558</properties:Characters>
  <properties:Lines>214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2017-05-12T08:26:00Z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St-186/2013-203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