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86355" w14:paraId="db86355" w:rsidRDefault="0089760C" w:rsidP="0089760C" w:rsidR="0089760C">
      <w:pPr>
        <w:ind w:left="708"/>
        <w:jc w:val="both"/>
        <w15:collapsed w:val="false"/>
      </w:pPr>
      <w:bookmarkStart w:name="_GoBack" w:id="0"/>
      <w:bookmarkEnd w:id="0"/>
    </w:p>
    <w:p w:rsidRDefault="0089760C" w:rsidP="0089760C" w:rsidR="0089760C">
      <w:pPr>
        <w:ind w:left="708"/>
        <w:jc w:val="both"/>
      </w:pPr>
    </w:p>
    <w:p w:rsidRDefault="00C15C1C" w:rsidP="0089760C" w:rsidR="00C15C1C" w:rsidRPr="0089760C">
      <w:pPr>
        <w:ind w:left="708"/>
        <w:jc w:val="both"/>
      </w:pPr>
      <w:r w:rsidRPr="0089760C">
        <w:rPr>
          <w:noProof/>
        </w:rPr>
        <w:drawing>
          <wp:inline distR="0" distL="0" distB="0" distT="0">
            <wp:extent cy="727075" cx="540385"/>
            <wp:effectExtent b="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C15C1C" w:rsidP="0089760C" w:rsidR="00C15C1C" w:rsidRPr="0089760C">
      <w:pPr>
        <w:jc w:val="both"/>
      </w:pPr>
    </w:p>
    <w:p w:rsidRDefault="0089760C" w:rsidP="0089760C" w:rsidR="0089760C" w:rsidRPr="0089760C">
      <w:pPr>
        <w:jc w:val="both"/>
      </w:pPr>
    </w:p>
    <w:p w:rsidRDefault="0089760C" w:rsidP="0089760C" w:rsidR="0089760C" w:rsidRPr="0089760C">
      <w:pPr>
        <w:jc w:val="both"/>
      </w:pPr>
      <w:r w:rsidRPr="0089760C">
        <w:t>​REPUBLIKA HRVATSKA</w:t>
      </w:r>
    </w:p>
    <w:p w:rsidRDefault="0089760C" w:rsidP="0089760C" w:rsidR="0089760C" w:rsidRPr="0089760C">
      <w:pPr>
        <w:spacing w:beforeAutospacing="true" w:before="100"/>
        <w:jc w:val="both"/>
      </w:pPr>
      <w:r w:rsidRPr="0089760C">
        <w:t>TRGOVAČKI SUD U OSIJEKU                                                         3 St-907/2013-</w:t>
      </w:r>
      <w:r w:rsidR="0038278F">
        <w:t>124</w:t>
      </w:r>
    </w:p>
    <w:p w:rsidRDefault="0089760C" w:rsidP="0089760C" w:rsidR="0089760C" w:rsidRPr="0089760C">
      <w:pPr>
        <w:spacing w:beforeAutospacing="true" w:before="100"/>
        <w:jc w:val="both"/>
      </w:pPr>
      <w:r>
        <w:t>STALNA SLUŽBA U SLAVONSKOM BRODU</w:t>
      </w:r>
    </w:p>
    <w:p w:rsidRDefault="008A63E1" w:rsidP="0089760C" w:rsidR="0089760C" w:rsidRPr="0089760C">
      <w:pPr>
        <w:spacing w:beforeAutospacing="true" w:before="100"/>
        <w:jc w:val="both"/>
      </w:pPr>
      <w:hyperlink r:id="rId11" w:history="true">
        <w:r w:rsidR="0089760C" w:rsidRPr="0089760C">
          <w:rPr>
            <w:rStyle w:val="Hiperveza"/>
            <w:color w:val="auto"/>
            <w:u w:val="none"/>
          </w:rPr>
          <w:t>Trg pobjede 13</w:t>
        </w:r>
      </w:hyperlink>
    </w:p>
    <w:p w:rsidRDefault="008A63E1" w:rsidP="0089760C" w:rsidR="0089760C" w:rsidRPr="0089760C">
      <w:pPr>
        <w:spacing w:beforeAutospacing="true" w:before="100"/>
        <w:jc w:val="both"/>
      </w:pPr>
      <w:hyperlink r:id="rId12" w:history="true">
        <w:r w:rsidR="0089760C" w:rsidRPr="0089760C">
          <w:rPr>
            <w:rStyle w:val="Hiperveza"/>
            <w:color w:val="auto"/>
            <w:u w:val="none"/>
          </w:rPr>
          <w:t xml:space="preserve">35000 </w:t>
        </w:r>
        <w:r w:rsidR="0089760C">
          <w:rPr>
            <w:rStyle w:val="Hiperveza"/>
            <w:color w:val="auto"/>
            <w:u w:val="none"/>
          </w:rPr>
          <w:t>Slavonski</w:t>
        </w:r>
      </w:hyperlink>
      <w:r w:rsidR="0089760C">
        <w:t xml:space="preserve"> Brod</w:t>
      </w:r>
    </w:p>
    <w:p w:rsidRDefault="0089760C" w:rsidP="0089760C" w:rsidR="0089760C" w:rsidRPr="0089760C">
      <w:pPr>
        <w:spacing w:beforeAutospacing="true" w:before="100"/>
        <w:jc w:val="both"/>
      </w:pPr>
      <w:r w:rsidRPr="0089760C">
        <w:t>                            </w:t>
      </w:r>
      <w:r>
        <w:t>                 </w:t>
      </w:r>
      <w:r w:rsidRPr="0089760C">
        <w:t> </w:t>
      </w:r>
      <w:hyperlink r:id="rId13" w:history="true">
        <w:r w:rsidRPr="0089760C">
          <w:rPr>
            <w:rStyle w:val="Hiperveza"/>
            <w:color w:val="auto"/>
            <w:u w:val="none"/>
          </w:rPr>
          <w:t>R</w:t>
        </w:r>
        <w:r>
          <w:rPr>
            <w:rStyle w:val="Hiperveza"/>
            <w:color w:val="auto"/>
            <w:u w:val="none"/>
          </w:rPr>
          <w:t xml:space="preserve"> </w:t>
        </w:r>
        <w:r w:rsidRPr="0089760C">
          <w:rPr>
            <w:rStyle w:val="Hiperveza"/>
            <w:color w:val="auto"/>
            <w:u w:val="none"/>
          </w:rPr>
          <w:t>E</w:t>
        </w:r>
        <w:r>
          <w:rPr>
            <w:rStyle w:val="Hiperveza"/>
            <w:color w:val="auto"/>
            <w:u w:val="none"/>
          </w:rPr>
          <w:t xml:space="preserve"> </w:t>
        </w:r>
        <w:r w:rsidRPr="0089760C">
          <w:rPr>
            <w:rStyle w:val="Hiperveza"/>
            <w:color w:val="auto"/>
            <w:u w:val="none"/>
          </w:rPr>
          <w:t>P</w:t>
        </w:r>
        <w:r>
          <w:rPr>
            <w:rStyle w:val="Hiperveza"/>
            <w:color w:val="auto"/>
            <w:u w:val="none"/>
          </w:rPr>
          <w:t xml:space="preserve"> </w:t>
        </w:r>
        <w:r w:rsidRPr="0089760C">
          <w:rPr>
            <w:rStyle w:val="Hiperveza"/>
            <w:color w:val="auto"/>
            <w:u w:val="none"/>
          </w:rPr>
          <w:t>U</w:t>
        </w:r>
        <w:r>
          <w:rPr>
            <w:rStyle w:val="Hiperveza"/>
            <w:color w:val="auto"/>
            <w:u w:val="none"/>
          </w:rPr>
          <w:t xml:space="preserve"> </w:t>
        </w:r>
        <w:r w:rsidRPr="0089760C">
          <w:rPr>
            <w:rStyle w:val="Hiperveza"/>
            <w:color w:val="auto"/>
            <w:u w:val="none"/>
          </w:rPr>
          <w:t>B</w:t>
        </w:r>
        <w:r>
          <w:rPr>
            <w:rStyle w:val="Hiperveza"/>
            <w:color w:val="auto"/>
            <w:u w:val="none"/>
          </w:rPr>
          <w:t xml:space="preserve"> </w:t>
        </w:r>
        <w:r w:rsidRPr="0089760C">
          <w:rPr>
            <w:rStyle w:val="Hiperveza"/>
            <w:color w:val="auto"/>
            <w:u w:val="none"/>
          </w:rPr>
          <w:t>L</w:t>
        </w:r>
        <w:r>
          <w:rPr>
            <w:rStyle w:val="Hiperveza"/>
            <w:color w:val="auto"/>
            <w:u w:val="none"/>
          </w:rPr>
          <w:t xml:space="preserve"> </w:t>
        </w:r>
        <w:r w:rsidRPr="0089760C">
          <w:rPr>
            <w:rStyle w:val="Hiperveza"/>
            <w:color w:val="auto"/>
            <w:u w:val="none"/>
          </w:rPr>
          <w:t>I</w:t>
        </w:r>
        <w:r>
          <w:rPr>
            <w:rStyle w:val="Hiperveza"/>
            <w:color w:val="auto"/>
            <w:u w:val="none"/>
          </w:rPr>
          <w:t xml:space="preserve"> </w:t>
        </w:r>
        <w:r w:rsidRPr="0089760C">
          <w:rPr>
            <w:rStyle w:val="Hiperveza"/>
            <w:color w:val="auto"/>
            <w:u w:val="none"/>
          </w:rPr>
          <w:t>K</w:t>
        </w:r>
        <w:r>
          <w:rPr>
            <w:rStyle w:val="Hiperveza"/>
            <w:color w:val="auto"/>
            <w:u w:val="none"/>
          </w:rPr>
          <w:t xml:space="preserve"> </w:t>
        </w:r>
        <w:r w:rsidRPr="0089760C">
          <w:rPr>
            <w:rStyle w:val="Hiperveza"/>
            <w:color w:val="auto"/>
            <w:u w:val="none"/>
          </w:rPr>
          <w:t>A</w:t>
        </w:r>
        <w:r>
          <w:rPr>
            <w:rStyle w:val="Hiperveza"/>
            <w:color w:val="auto"/>
            <w:u w:val="none"/>
          </w:rPr>
          <w:t xml:space="preserve"> </w:t>
        </w:r>
        <w:r w:rsidRPr="0089760C">
          <w:rPr>
            <w:rStyle w:val="Hiperveza"/>
            <w:color w:val="auto"/>
            <w:u w:val="none"/>
          </w:rPr>
          <w:t xml:space="preserve"> </w:t>
        </w:r>
        <w:r>
          <w:rPr>
            <w:rStyle w:val="Hiperveza"/>
            <w:color w:val="auto"/>
            <w:u w:val="none"/>
          </w:rPr>
          <w:t xml:space="preserve"> </w:t>
        </w:r>
        <w:r w:rsidRPr="0089760C">
          <w:rPr>
            <w:rStyle w:val="Hiperveza"/>
            <w:color w:val="auto"/>
            <w:u w:val="none"/>
          </w:rPr>
          <w:t>H</w:t>
        </w:r>
        <w:r>
          <w:rPr>
            <w:rStyle w:val="Hiperveza"/>
            <w:color w:val="auto"/>
            <w:u w:val="none"/>
          </w:rPr>
          <w:t xml:space="preserve"> </w:t>
        </w:r>
        <w:r w:rsidRPr="0089760C">
          <w:rPr>
            <w:rStyle w:val="Hiperveza"/>
            <w:color w:val="auto"/>
            <w:u w:val="none"/>
          </w:rPr>
          <w:t>R</w:t>
        </w:r>
        <w:r>
          <w:rPr>
            <w:rStyle w:val="Hiperveza"/>
            <w:color w:val="auto"/>
            <w:u w:val="none"/>
          </w:rPr>
          <w:t xml:space="preserve"> </w:t>
        </w:r>
        <w:r w:rsidRPr="0089760C">
          <w:rPr>
            <w:rStyle w:val="Hiperveza"/>
            <w:color w:val="auto"/>
            <w:u w:val="none"/>
          </w:rPr>
          <w:t>V</w:t>
        </w:r>
        <w:r>
          <w:rPr>
            <w:rStyle w:val="Hiperveza"/>
            <w:color w:val="auto"/>
            <w:u w:val="none"/>
          </w:rPr>
          <w:t xml:space="preserve"> </w:t>
        </w:r>
        <w:r w:rsidRPr="0089760C">
          <w:rPr>
            <w:rStyle w:val="Hiperveza"/>
            <w:color w:val="auto"/>
            <w:u w:val="none"/>
          </w:rPr>
          <w:t>A</w:t>
        </w:r>
        <w:r>
          <w:rPr>
            <w:rStyle w:val="Hiperveza"/>
            <w:color w:val="auto"/>
            <w:u w:val="none"/>
          </w:rPr>
          <w:t xml:space="preserve"> </w:t>
        </w:r>
        <w:r w:rsidRPr="0089760C">
          <w:rPr>
            <w:rStyle w:val="Hiperveza"/>
            <w:color w:val="auto"/>
            <w:u w:val="none"/>
          </w:rPr>
          <w:t>T</w:t>
        </w:r>
        <w:r>
          <w:rPr>
            <w:rStyle w:val="Hiperveza"/>
            <w:color w:val="auto"/>
            <w:u w:val="none"/>
          </w:rPr>
          <w:t xml:space="preserve"> </w:t>
        </w:r>
        <w:r w:rsidRPr="0089760C">
          <w:rPr>
            <w:rStyle w:val="Hiperveza"/>
            <w:color w:val="auto"/>
            <w:u w:val="none"/>
          </w:rPr>
          <w:t>S</w:t>
        </w:r>
        <w:r>
          <w:rPr>
            <w:rStyle w:val="Hiperveza"/>
            <w:color w:val="auto"/>
            <w:u w:val="none"/>
          </w:rPr>
          <w:t xml:space="preserve"> </w:t>
        </w:r>
        <w:r w:rsidRPr="0089760C">
          <w:rPr>
            <w:rStyle w:val="Hiperveza"/>
            <w:color w:val="auto"/>
            <w:u w:val="none"/>
          </w:rPr>
          <w:t>K</w:t>
        </w:r>
        <w:r>
          <w:rPr>
            <w:rStyle w:val="Hiperveza"/>
            <w:color w:val="auto"/>
            <w:u w:val="none"/>
          </w:rPr>
          <w:t xml:space="preserve"> </w:t>
        </w:r>
        <w:r w:rsidRPr="0089760C">
          <w:rPr>
            <w:rStyle w:val="Hiperveza"/>
            <w:color w:val="auto"/>
            <w:u w:val="none"/>
          </w:rPr>
          <w:t>A</w:t>
        </w:r>
      </w:hyperlink>
      <w:r w:rsidRPr="0089760C">
        <w:t>                         </w:t>
      </w:r>
    </w:p>
    <w:p w:rsidRDefault="0089760C" w:rsidP="0089760C" w:rsidR="0089760C" w:rsidRPr="0089760C">
      <w:pPr>
        <w:ind w:firstLine="708" w:left="3540"/>
        <w:jc w:val="both"/>
      </w:pPr>
      <w:r w:rsidRPr="0089760C">
        <w:t>R J E Š E N J E</w:t>
      </w:r>
    </w:p>
    <w:p w:rsidRDefault="0089760C" w:rsidP="0089760C" w:rsidR="0089760C" w:rsidRPr="0089760C">
      <w:pPr>
        <w:ind w:firstLine="720" w:left="3600"/>
        <w:jc w:val="both"/>
      </w:pPr>
      <w:r w:rsidRPr="0089760C">
        <w:t> </w:t>
      </w:r>
    </w:p>
    <w:p w:rsidRDefault="0089760C" w:rsidP="0089760C" w:rsidR="0089760C" w:rsidRPr="0089760C">
      <w:pPr>
        <w:spacing w:beforeAutospacing="true" w:before="100"/>
        <w:ind w:firstLine="708"/>
        <w:jc w:val="both"/>
      </w:pPr>
      <w:r w:rsidRPr="0089760C">
        <w:t xml:space="preserve">TRGOVAČKI SUD U OSIJEKU, STALNA SLUŽBA U SLAVONSKOM BRODU, po stečajnoj sutkinji Danieli Martini Maoduš, u postupku stečaja nad stečajnim dužnikom IDEAL d.o.o. Požega, </w:t>
      </w:r>
      <w:r w:rsidR="00BD2CD3">
        <w:t xml:space="preserve">u stečaju, </w:t>
      </w:r>
      <w:r w:rsidRPr="0089760C">
        <w:t>Novi Štitnjak 22A, Požega, OIB: </w:t>
      </w:r>
      <w:hyperlink r:id="rId14" w:history="true" w:tgtFrame="_blank">
        <w:r w:rsidRPr="0089760C">
          <w:rPr>
            <w:rStyle w:val="Hiperveza"/>
            <w:color w:val="auto"/>
            <w:u w:val="none"/>
          </w:rPr>
          <w:t>15023528049</w:t>
        </w:r>
      </w:hyperlink>
      <w:r w:rsidRPr="0089760C">
        <w:t>, zastupano po stečaj</w:t>
      </w:r>
      <w:r>
        <w:t xml:space="preserve">noj upraviteljici Almi Opačak, 8. siječnja </w:t>
      </w:r>
      <w:r w:rsidRPr="0089760C">
        <w:t>201</w:t>
      </w:r>
      <w:r>
        <w:t>8</w:t>
      </w:r>
      <w:r w:rsidRPr="0089760C">
        <w:t>.</w:t>
      </w:r>
    </w:p>
    <w:p w:rsidRDefault="0089760C" w:rsidP="0089760C" w:rsidR="0089760C" w:rsidRPr="0089760C">
      <w:pPr>
        <w:spacing w:beforeAutospacing="true" w:before="100"/>
        <w:jc w:val="both"/>
      </w:pPr>
      <w:r w:rsidRPr="0089760C">
        <w:t> </w:t>
      </w:r>
      <w:r>
        <w:tab/>
      </w:r>
      <w:r>
        <w:tab/>
      </w:r>
      <w:r>
        <w:tab/>
      </w:r>
      <w:r>
        <w:tab/>
      </w:r>
      <w:r>
        <w:tab/>
        <w:t xml:space="preserve">  </w:t>
      </w:r>
      <w:r w:rsidRPr="0089760C">
        <w:t>r i j e š i o  j e</w:t>
      </w:r>
    </w:p>
    <w:p w:rsidRDefault="0089760C" w:rsidP="0089760C" w:rsidR="0089760C" w:rsidRPr="0089760C">
      <w:pPr>
        <w:spacing w:beforeAutospacing="true" w:before="100"/>
        <w:jc w:val="both"/>
      </w:pPr>
      <w:r w:rsidRPr="0089760C">
        <w:t> </w:t>
      </w:r>
      <w:r w:rsidRPr="0089760C">
        <w:rPr>
          <w:bCs/>
        </w:rPr>
        <w:t> </w:t>
      </w:r>
      <w:r w:rsidRPr="0089760C">
        <w:t> </w:t>
      </w:r>
      <w:r w:rsidR="00BD2CD3">
        <w:tab/>
      </w:r>
      <w:r w:rsidRPr="0089760C">
        <w:t>I</w:t>
      </w:r>
      <w:r>
        <w:t xml:space="preserve">. </w:t>
      </w:r>
      <w:r w:rsidRPr="0089760C">
        <w:t xml:space="preserve"> Iz iznosa utržaka dobivenih prodajom nekretnina upisanih u  z. k. ul. 487 k. o. Štitnjak, k. č. br. 1304/2 Zgrada, dvorište i oranica od 5416 m2 ukupnom  iznosu od  444.040,30 </w:t>
      </w:r>
      <w:r w:rsidRPr="0089760C">
        <w:rPr>
          <w:bCs/>
        </w:rPr>
        <w:t>kn</w:t>
      </w:r>
      <w:r w:rsidRPr="0089760C">
        <w:t>  n a m i r u j e   s e:</w:t>
      </w:r>
    </w:p>
    <w:p w:rsidRDefault="0089760C" w:rsidP="0089760C" w:rsidR="0089760C" w:rsidRPr="0089760C">
      <w:pPr>
        <w:spacing w:beforeAutospacing="true" w:before="100"/>
        <w:jc w:val="both"/>
      </w:pPr>
      <w:r w:rsidRPr="0089760C">
        <w:t>-    dio tražbine s osnova  razlučnih prava razlučnog vjerovnika:  H-ABDUCO d.o.o., Zagreb, koje su upisane u zemljišnim knjigama temeljem zabilježbi,  u korist pravnog  prednika navedenog razlučnog vjerovnika pod brojem Z-5489/09 dana 04. studenog 2009.  za iznos od 235.033,61</w:t>
      </w:r>
      <w:r w:rsidRPr="0089760C">
        <w:rPr>
          <w:bCs/>
        </w:rPr>
        <w:t>kn</w:t>
      </w:r>
      <w:r w:rsidRPr="0089760C">
        <w:t>  i  Z-824/10 dana 24.02.2010., za iznos od  86.127,66 </w:t>
      </w:r>
      <w:r w:rsidRPr="0089760C">
        <w:rPr>
          <w:bCs/>
        </w:rPr>
        <w:t xml:space="preserve">kn;  iznosa od </w:t>
      </w:r>
      <w:r w:rsidRPr="0089760C">
        <w:t xml:space="preserve">10.009,92 kn (glavnica tražbine)   razlučnog vjerovnika  Grad Požega po  razlučnom pravu po osnovu Z-2798/10 od 09.0 6. 2010;  te iznosa od  112.869,00 kn  (dio glavnice) po razlučnom pravu po  Z-1712/12, od 30. 04. 2012 u korist razlučnog vjerovnika Hilding Anders d. o. o. Prelog. (kao pravnog slijednika HESPO  d. o. o. Prelog) </w:t>
      </w:r>
    </w:p>
    <w:p w:rsidRDefault="0089760C" w:rsidP="0089760C" w:rsidR="0089760C" w:rsidRPr="0089760C">
      <w:pPr>
        <w:spacing w:beforeAutospacing="true" w:before="100"/>
        <w:jc w:val="both"/>
      </w:pPr>
      <w:r w:rsidRPr="0089760C">
        <w:rPr>
          <w:bCs/>
        </w:rPr>
        <w:t> </w:t>
      </w:r>
      <w:r>
        <w:rPr>
          <w:bCs/>
        </w:rPr>
        <w:tab/>
      </w:r>
      <w:r w:rsidRPr="0089760C">
        <w:t> II</w:t>
      </w:r>
      <w:r>
        <w:t>.</w:t>
      </w:r>
      <w:r w:rsidRPr="0089760C">
        <w:t xml:space="preserve"> Iz</w:t>
      </w:r>
      <w:r>
        <w:t>v</w:t>
      </w:r>
      <w:r w:rsidRPr="0089760C">
        <w:t>ršit se isplata  razlučnom vjerovniku H-ABDUCO d.o.o., Zagreb iznosa od 132.503,97 kn..  na žiro račun istog vjerovnika: </w:t>
      </w:r>
      <w:r w:rsidRPr="0089760C">
        <w:rPr>
          <w:bCs/>
        </w:rPr>
        <w:t>HR9125000091101386086, poziv na broj 00 265934, , te će se izvršiti isplata stečajnoj masi iznosa od 271.140,85 kn na račun stečajnog dužnika</w:t>
      </w:r>
      <w:r w:rsidR="000B2798">
        <w:rPr>
          <w:bCs/>
        </w:rPr>
        <w:t xml:space="preserve"> </w:t>
      </w:r>
      <w:r w:rsidR="000B2798">
        <w:t>IBAN HR71 24120091144001806</w:t>
      </w:r>
      <w:r w:rsidRPr="0089760C">
        <w:rPr>
          <w:bCs/>
        </w:rPr>
        <w:t xml:space="preserve">, te iznosa od </w:t>
      </w:r>
      <w:r w:rsidRPr="0089760C">
        <w:t>10.009,92 kn (glavnica tražbine)  na račun razlučnog vjerovnika  Grad Požega po Z-2798/10 od 09.0 6. 2010 nakon što isti dostavi račun ,, te iznosa od  112.869,00 kn  (dio glavnice) po razlučnom pravu po  Z-1712/12, od 30. 04. 2012,   na račun razlučnog vjerovnika Hilding Anders d. o. o. Prelog HR892484008 1101963464 RBA</w:t>
      </w:r>
      <w:r w:rsidR="00DE2465">
        <w:t>.</w:t>
      </w:r>
    </w:p>
    <w:p w:rsidRDefault="0089760C" w:rsidP="0089760C" w:rsidR="0089760C" w:rsidRPr="0089760C">
      <w:pPr>
        <w:spacing w:beforeAutospacing="true" w:before="100"/>
        <w:ind w:firstLine="720"/>
        <w:jc w:val="both"/>
      </w:pPr>
      <w:r>
        <w:lastRenderedPageBreak/>
        <w:t>III.</w:t>
      </w:r>
      <w:r w:rsidRPr="0089760C">
        <w:t xml:space="preserve">  Nalaže se razlučnom vjerovniku Gradu Požega dostaviti račun za uplatu .  </w:t>
      </w:r>
    </w:p>
    <w:p w:rsidRDefault="0089760C" w:rsidP="0089760C" w:rsidR="0089760C" w:rsidRPr="0089760C">
      <w:pPr>
        <w:spacing w:beforeAutospacing="true" w:before="100"/>
        <w:ind w:firstLine="720"/>
        <w:jc w:val="both"/>
      </w:pPr>
      <w:r w:rsidRPr="0089760C">
        <w:t> IV</w:t>
      </w:r>
      <w:r>
        <w:t>.</w:t>
      </w:r>
      <w:r w:rsidRPr="0089760C">
        <w:t xml:space="preserve">  Nalaže se računovodstvu ovog Suda izvršiti isplatu sukladno toč. </w:t>
      </w:r>
      <w:r w:rsidR="00BD2CD3">
        <w:t>I</w:t>
      </w:r>
      <w:r w:rsidRPr="0089760C">
        <w:t>I. ovog rješenja.</w:t>
      </w:r>
    </w:p>
    <w:p w:rsidRDefault="0089760C" w:rsidP="0089760C" w:rsidR="0089760C" w:rsidRPr="0089760C">
      <w:pPr>
        <w:spacing w:beforeAutospacing="true" w:before="100"/>
        <w:jc w:val="center"/>
      </w:pPr>
      <w:r w:rsidRPr="0089760C">
        <w:t>O b r a z l o ž e n</w:t>
      </w:r>
      <w:r>
        <w:t xml:space="preserve"> </w:t>
      </w:r>
      <w:r w:rsidRPr="0089760C">
        <w:t>j e</w:t>
      </w:r>
    </w:p>
    <w:p w:rsidRDefault="0089760C" w:rsidP="0089760C" w:rsidR="0089760C" w:rsidRPr="0089760C">
      <w:pPr>
        <w:spacing w:beforeAutospacing="true" w:before="100"/>
        <w:ind w:firstLine="708"/>
        <w:jc w:val="both"/>
      </w:pPr>
      <w:r w:rsidRPr="0089760C">
        <w:t> Ovaj sud je od ovršnog suda zaprimio iznos od  1.485,662,00 kn, a dokaz o upla</w:t>
      </w:r>
      <w:r>
        <w:t>ti se nalazi na str. 491 spisa.</w:t>
      </w:r>
      <w:r w:rsidRPr="0089760C">
        <w:t xml:space="preserve"> </w:t>
      </w:r>
    </w:p>
    <w:p w:rsidRDefault="0089760C" w:rsidP="0089760C" w:rsidR="0089760C" w:rsidRPr="0089760C">
      <w:pPr>
        <w:spacing w:beforeAutospacing="true" w:before="100"/>
        <w:jc w:val="both"/>
      </w:pPr>
      <w:r w:rsidRPr="0089760C">
        <w:t> </w:t>
      </w:r>
      <w:r>
        <w:tab/>
      </w:r>
      <w:r w:rsidRPr="0089760C">
        <w:t>Ročište za diobu kup</w:t>
      </w:r>
      <w:r w:rsidR="00683467">
        <w:t xml:space="preserve">ovnine je bilo zakazano za dan </w:t>
      </w:r>
      <w:r w:rsidRPr="0089760C">
        <w:t xml:space="preserve">5. rujna 2016. Zaključkom o zakazivanju istog ročišta je između ostalog pozvan Grad Požega  najkasnije do ročišta za diobu kupovnine dostaviti  rješenja o ovrsi  te obračun visine tražbine i obavijestiti sud o računu na koji treba izvršiti isplatu. </w:t>
      </w:r>
    </w:p>
    <w:p w:rsidRDefault="0089760C" w:rsidP="0089760C" w:rsidR="0089760C" w:rsidRPr="0089760C">
      <w:pPr>
        <w:spacing w:beforeAutospacing="true" w:before="100"/>
        <w:ind w:firstLine="708"/>
        <w:jc w:val="both"/>
      </w:pPr>
      <w:r w:rsidRPr="0089760C">
        <w:t xml:space="preserve"> Na ročište dana 5. </w:t>
      </w:r>
      <w:r w:rsidR="00683467">
        <w:t>r</w:t>
      </w:r>
      <w:r w:rsidRPr="0089760C">
        <w:t>ujna 2016</w:t>
      </w:r>
      <w:r w:rsidR="00683467">
        <w:t>.</w:t>
      </w:r>
      <w:r w:rsidRPr="0089760C">
        <w:t>, nije pristupio punomoćnik razlučnog vjerovnika  Grada Požege, a</w:t>
      </w:r>
      <w:r>
        <w:t xml:space="preserve"> </w:t>
      </w:r>
      <w:r w:rsidRPr="0089760C">
        <w:t xml:space="preserve">isto je odgođeno jer nije bio zaprimljen obračun tražbine A- Abduca, i to za dan 26. rujna 2016,  (zapisnik str. 511 spisa), ponovo </w:t>
      </w:r>
      <w:r>
        <w:t>je zaključkom pozvan Grad Požeg</w:t>
      </w:r>
      <w:r w:rsidRPr="0089760C">
        <w:t xml:space="preserve">a dostaviti ovršni prijedlog i obračun tražbine i račun za uplatu.  </w:t>
      </w:r>
    </w:p>
    <w:p w:rsidRDefault="0089760C" w:rsidP="0089760C" w:rsidR="0089760C" w:rsidRPr="0089760C">
      <w:pPr>
        <w:spacing w:beforeAutospacing="true" w:before="100"/>
        <w:ind w:firstLine="708"/>
        <w:jc w:val="both"/>
      </w:pPr>
      <w:r w:rsidRPr="0089760C">
        <w:t xml:space="preserve">Razlučni vjerovnik H. Abduco je dostavio obračun tražbine uz </w:t>
      </w:r>
      <w:r w:rsidR="00683467">
        <w:t>podnesak od 23.</w:t>
      </w:r>
      <w:r w:rsidRPr="0089760C">
        <w:t>9. 2016</w:t>
      </w:r>
      <w:r w:rsidR="00683467">
        <w:t>.</w:t>
      </w:r>
      <w:r w:rsidRPr="0089760C">
        <w:t>, i ugovor o ustupu</w:t>
      </w:r>
      <w:r w:rsidR="00683467">
        <w:t xml:space="preserve"> tražbine  ( str. 522 532 spisa)</w:t>
      </w:r>
      <w:r w:rsidRPr="0089760C">
        <w:t xml:space="preserve">. </w:t>
      </w:r>
    </w:p>
    <w:p w:rsidRDefault="0089760C" w:rsidP="0089760C" w:rsidR="0089760C" w:rsidRPr="0089760C">
      <w:pPr>
        <w:spacing w:beforeAutospacing="true" w:before="100"/>
        <w:jc w:val="both"/>
      </w:pPr>
      <w:r w:rsidRPr="0089760C">
        <w:t xml:space="preserve">  </w:t>
      </w:r>
      <w:r>
        <w:tab/>
      </w:r>
      <w:r w:rsidRPr="0089760C">
        <w:t>Ročište za diobu kupovnine je održano dana 26. rujna 2016</w:t>
      </w:r>
      <w:r w:rsidR="00683467">
        <w:t>.</w:t>
      </w:r>
      <w:r w:rsidRPr="0089760C">
        <w:t xml:space="preserve"> i na isto ponovo nije pristupio punomoć</w:t>
      </w:r>
      <w:r>
        <w:t>nik razlučnog vjerovnika Grada P</w:t>
      </w:r>
      <w:r w:rsidRPr="0089760C">
        <w:t>ožege, niti je dostavio obračun tražbine.</w:t>
      </w:r>
    </w:p>
    <w:p w:rsidRDefault="0089760C" w:rsidP="0089760C" w:rsidR="0089760C" w:rsidRPr="0089760C">
      <w:pPr>
        <w:spacing w:beforeAutospacing="true" w:before="100"/>
        <w:ind w:firstLine="708"/>
        <w:jc w:val="both"/>
      </w:pPr>
      <w:r w:rsidRPr="0089760C">
        <w:t xml:space="preserve"> Sud je po službenoj dužnosti pribavio iz zbirke isprave z. k  odjela  prijedlog za osiguranje temeljem kojeg je zasnovano razlučno pravo u korist Grada Požege i isti se nalazi na str.  570 do 571 spisa iz kojeg je vidljivo da je rješenje o osiguranju izdano radi isplate iznosa od 10.009,92 kn glavnice i kamata od dospijeća do isplate, ali u prijedlogu i rješenju nije navedeno kada je dospijeće tražbine, samo datum donošenja rješenja  temeljem kojeg se traži osiguranje – 18. 02. 2009. </w:t>
      </w:r>
    </w:p>
    <w:p w:rsidRDefault="0089760C" w:rsidP="0089760C" w:rsidR="0089760C" w:rsidRPr="0089760C">
      <w:pPr>
        <w:spacing w:beforeAutospacing="true" w:before="100"/>
        <w:jc w:val="both"/>
      </w:pPr>
      <w:r w:rsidRPr="0089760C">
        <w:t> </w:t>
      </w:r>
      <w:r>
        <w:tab/>
      </w:r>
      <w:r w:rsidRPr="0089760C">
        <w:t> Radi utvrđenja bitnih činjenica za namirivanje razluč</w:t>
      </w:r>
      <w:r w:rsidR="00683467">
        <w:t xml:space="preserve">nih vjerovnika </w:t>
      </w:r>
      <w:r w:rsidR="00DE2465">
        <w:t>izvršen</w:t>
      </w:r>
      <w:r w:rsidR="00683467">
        <w:t xml:space="preserve"> je uvid u:  povijesni z.k</w:t>
      </w:r>
      <w:r w:rsidRPr="0089760C">
        <w:t>., izvadak za predmetne nekretnine,</w:t>
      </w:r>
      <w:r w:rsidR="00DE2465">
        <w:t xml:space="preserve"> preslike ovršnih prijedloga i rješenja o ovrsi za HESPO d.o.o., Prelog, te rješenja o osiguranju s prijedlogom za osiguranje za Grad Požegu, </w:t>
      </w:r>
      <w:r w:rsidRPr="0089760C">
        <w:t>obračun tražbina vjerovnika</w:t>
      </w:r>
      <w:r w:rsidR="00683467">
        <w:t>- razlučnih  HIilding Anders d.o.o.  i H- Abduco d.o.</w:t>
      </w:r>
      <w:r w:rsidRPr="0089760C">
        <w:t>o. , a sud je uzeo u</w:t>
      </w:r>
      <w:r w:rsidR="00683467">
        <w:t xml:space="preserve"> </w:t>
      </w:r>
      <w:r w:rsidRPr="0089760C">
        <w:t>obzir  navode  s</w:t>
      </w:r>
      <w:r w:rsidR="00223877">
        <w:t xml:space="preserve"> ročišta  za diobu kupovnine te izvršio u uvid u povijesni izvadak iz registra za Hilding Anders d.o.o.</w:t>
      </w:r>
    </w:p>
    <w:p w:rsidRDefault="0089760C" w:rsidP="0089760C" w:rsidR="0089760C" w:rsidRPr="0089760C">
      <w:pPr>
        <w:spacing w:beforeAutospacing="true" w:before="100"/>
        <w:ind w:firstLine="708"/>
        <w:jc w:val="both"/>
      </w:pPr>
      <w:r w:rsidRPr="0089760C">
        <w:t xml:space="preserve"> Nakon donošenje drugostupanjske odluke broj Pž-4117/17-2 od 10. kolovoza 2017 koja je ispravljena odlukom Pž-4117/17-4 od 22. studenog 2017.  ( po kojoj je pravomoćna odluka za namirenje glavnice  razlučnog vjerovnika H-ABDUCO d.o.o., Zagreb za iznos od 751.588,22 kn ( 551.588,22 kn za razlučno pravo  po z-5489/09 zabilježeno dana 02. 03. 2016. te 200,00,0 kn po Z-824/10 od 24. 2. 2010,  i odluke od isplati stečajnoj masi  iznosa s osnova troškova  u iznosu od 214.783,59 kn i troškova utvrđivanja tražbine u iznosu od  75.250,00 kn,   razlučni vjerovnik  H-ABDUCO d.o.o., Zagreb  se namiruje još za tražbinu s osnova kamata i troškova postupka koja se prioritetno namiruje po čl 114. </w:t>
      </w:r>
      <w:r w:rsidR="00683467">
        <w:t>s</w:t>
      </w:r>
      <w:r w:rsidR="00DE2465">
        <w:t>tavak 1 i 3 Ovršnog zakona u istom isplatnom redu s glavnicom.</w:t>
      </w:r>
    </w:p>
    <w:p w:rsidRDefault="0089760C" w:rsidP="0089760C" w:rsidR="0089760C" w:rsidRPr="0089760C">
      <w:pPr>
        <w:spacing w:beforeAutospacing="true" w:before="100"/>
        <w:ind w:firstLine="720"/>
        <w:jc w:val="both"/>
      </w:pPr>
      <w:r w:rsidRPr="0089760C">
        <w:lastRenderedPageBreak/>
        <w:t> </w:t>
      </w:r>
    </w:p>
    <w:p w:rsidRDefault="0089760C" w:rsidP="0089760C" w:rsidR="0089760C" w:rsidRPr="0089760C">
      <w:pPr>
        <w:spacing w:beforeAutospacing="true" w:before="100"/>
        <w:ind w:firstLine="720"/>
        <w:jc w:val="both"/>
      </w:pPr>
      <w:r w:rsidRPr="0089760C">
        <w:t>Proizlazi,  da se iz uplaćenog dijela utrška na račun ovog suda</w:t>
      </w:r>
      <w:r w:rsidR="00BD2CD3">
        <w:t>,</w:t>
      </w:r>
      <w:r w:rsidRPr="0089760C">
        <w:t xml:space="preserve"> nakon namirenja  stečajne mase za troškove utvrđivanja tražbina u iznosu od 75.250,00 kn,  i troškove unovčenja tražbine u iznosu od 212.820,21 kn, po čl. 114. stavak 4 Ovršnog zakona NN 112/12, 25/13, 93/14, 55/16,</w:t>
      </w:r>
      <w:r w:rsidR="00DE2465">
        <w:t xml:space="preserve"> i glavnice vjerovnika H-ABDUCO,</w:t>
      </w:r>
      <w:r w:rsidRPr="0089760C">
        <w:t xml:space="preserve"> koja tražbina je pravomoćno presuđena, nakon donošenja drugostupanjske odluke</w:t>
      </w:r>
      <w:r>
        <w:t xml:space="preserve">, </w:t>
      </w:r>
      <w:r w:rsidRPr="0089760C">
        <w:t>može namiriti </w:t>
      </w:r>
      <w:r w:rsidR="000B2798">
        <w:t>u istom isplatom redu s glavnicom</w:t>
      </w:r>
      <w:r w:rsidRPr="0089760C">
        <w:t xml:space="preserve"> razlučni vjerovnik H-ABDUCO d.o.o., za dio svoje tražbine po  Z-5489/09 zabilježeno dana 4.studenog 2009. u  zemljišne knjige i to kamata te troškova (dospjelih u razdoblju od 02. 03. 2013 do 02. 03. 2016 ) za ukupni iznos od 235.033,61 kn, te isti razlučni vjerovnik sa svojom tražbinom u iznosu od 86.127,66 kn i to kamata te troškova (dospjelih u razdoblju od 02. 03. 2013 do 02. 03. 2016 – tražbina razlučnog prava prema   zabilježbi  u zk pod Z-824/10.</w:t>
      </w:r>
    </w:p>
    <w:p w:rsidRDefault="0089760C" w:rsidP="0089760C" w:rsidR="0089760C" w:rsidRPr="0089760C">
      <w:pPr>
        <w:spacing w:beforeAutospacing="true" w:before="100"/>
        <w:ind w:firstLine="720"/>
        <w:jc w:val="both"/>
      </w:pPr>
      <w:r w:rsidRPr="0089760C">
        <w:t> Razlučnom vjerovniku  H-ABDUCO d.o.o., Zagreb  je već isplaćen  iznos od 940.245,52 kn dana 19. 06. 2017.</w:t>
      </w:r>
    </w:p>
    <w:p w:rsidRDefault="0089760C" w:rsidP="0089760C" w:rsidR="0089760C" w:rsidRPr="0089760C">
      <w:pPr>
        <w:spacing w:beforeAutospacing="true" w:before="100"/>
        <w:ind w:firstLine="720"/>
        <w:jc w:val="both"/>
      </w:pPr>
      <w:r w:rsidRPr="0089760C">
        <w:t>Ukupno je za tog razlučnog vjerovnika presuđeno: 751.588,22 kn na ime glavnice temeljem drugostupanjskog rješenja kojim je djelomično potvrđeno rješenje o namirenju iz svibnja 2017, te temeljem   ovog rješenja: 235.033,61 kn i 86.127,66 kn, što je ukupno iznos od 1.072.749,49 kn, a ispraćan mu je iznos od 940.245,52 kn (taj razlučni vjerovnik nije ništa vrat</w:t>
      </w:r>
      <w:r w:rsidR="00683467">
        <w:t>io na depozitni račun ovog suda</w:t>
      </w:r>
      <w:r w:rsidRPr="0089760C">
        <w:t>.</w:t>
      </w:r>
    </w:p>
    <w:p w:rsidRDefault="0089760C" w:rsidP="0089760C" w:rsidR="0089760C" w:rsidRPr="0089760C">
      <w:pPr>
        <w:spacing w:beforeAutospacing="true" w:before="100"/>
        <w:ind w:firstLine="720"/>
        <w:jc w:val="both"/>
      </w:pPr>
      <w:r w:rsidRPr="0089760C">
        <w:t>Stoga preostaje za isplatu  tog  razlučnog  vjerovnika  H- Abduc</w:t>
      </w:r>
      <w:r>
        <w:t>o  još iznos od 132.503,97 kn.</w:t>
      </w:r>
    </w:p>
    <w:p w:rsidRDefault="0089760C" w:rsidP="0089760C" w:rsidR="0089760C" w:rsidRPr="0089760C">
      <w:pPr>
        <w:spacing w:beforeAutospacing="true" w:before="100"/>
        <w:ind w:firstLine="720"/>
        <w:jc w:val="both"/>
      </w:pPr>
      <w:r w:rsidRPr="0089760C">
        <w:t xml:space="preserve"> Idući po redoslijedu za namirenje je razlučni vjerovnik </w:t>
      </w:r>
      <w:r w:rsidR="00683467">
        <w:t xml:space="preserve">Grad Požega po Z-2798/10 od 9.6.2010. </w:t>
      </w:r>
      <w:r w:rsidRPr="0089760C">
        <w:t xml:space="preserve"> treće po redu -  razlučno pravo prema podacima iz zemljišne knjige) .</w:t>
      </w:r>
    </w:p>
    <w:p w:rsidRDefault="0089760C" w:rsidP="0089760C" w:rsidR="0089760C" w:rsidRPr="0089760C">
      <w:pPr>
        <w:spacing w:beforeAutospacing="true" w:before="100"/>
        <w:ind w:firstLine="720"/>
        <w:jc w:val="both"/>
      </w:pPr>
      <w:r w:rsidRPr="0089760C">
        <w:t xml:space="preserve">Uvidom u povijesni z. k. izvadak proizlazi da je založno pravo zasnovano radi namirenja glavnice u iznosu od 10.009,92 kn sa zateznim kamatama od dospijeća do isplate. </w:t>
      </w:r>
    </w:p>
    <w:p w:rsidRDefault="0089760C" w:rsidP="0089760C" w:rsidR="0089760C" w:rsidRPr="0089760C">
      <w:pPr>
        <w:spacing w:beforeAutospacing="true" w:before="100"/>
        <w:ind w:firstLine="720"/>
        <w:jc w:val="both"/>
      </w:pPr>
      <w:r w:rsidRPr="0089760C">
        <w:t>Isti razlučni vjerovnik nije do ročišta za namirenje dostavio svoj obračun tražbine s osnova kamata, pa istog nije moguće namiriti za iznos kamata nego samo za iznos glavnice, jer se prema podacima iz zemljišne  knjige  u svezi s rješenjem o  osiguranju</w:t>
      </w:r>
      <w:r w:rsidR="00BD2CD3">
        <w:t>,</w:t>
      </w:r>
      <w:r w:rsidRPr="0089760C">
        <w:t xml:space="preserve"> za  koje je izvršen upis  u zemljišne knjige</w:t>
      </w:r>
      <w:r w:rsidR="00BD2CD3">
        <w:t>,</w:t>
      </w:r>
      <w:r w:rsidRPr="0089760C">
        <w:t xml:space="preserve">  može utvrditi samo iznos glavnice . </w:t>
      </w:r>
    </w:p>
    <w:p w:rsidRDefault="0089760C" w:rsidP="0089760C" w:rsidR="0089760C" w:rsidRPr="0089760C">
      <w:pPr>
        <w:spacing w:beforeAutospacing="true" w:before="100"/>
        <w:ind w:firstLine="720"/>
        <w:jc w:val="both"/>
      </w:pPr>
      <w:r w:rsidRPr="0089760C">
        <w:t>Ova odluka ima uporište u  čl. 124 . stavak 3</w:t>
      </w:r>
      <w:r w:rsidR="00683467">
        <w:t>.</w:t>
      </w:r>
      <w:r w:rsidRPr="0089760C">
        <w:t xml:space="preserve"> Zakona o ovrsi: </w:t>
      </w:r>
    </w:p>
    <w:p w:rsidRDefault="0089760C" w:rsidP="0089760C" w:rsidR="0089760C" w:rsidRPr="0089760C">
      <w:pPr>
        <w:spacing w:beforeAutospacing="true" w:before="100"/>
        <w:ind w:firstLine="720"/>
        <w:jc w:val="both"/>
      </w:pPr>
      <w:r w:rsidRPr="0089760C">
        <w:t xml:space="preserve"> Iako sud po službenoj dužnosti utvrđuje činjenice u stečajnom postupku, na namirenje razlučnih vjerovnika se kao lex specijalnih primjenjuju odredbe ovršnog zakona. </w:t>
      </w:r>
    </w:p>
    <w:p w:rsidRDefault="0089760C" w:rsidP="0089760C" w:rsidR="0089760C" w:rsidRPr="0089760C">
      <w:pPr>
        <w:spacing w:beforeAutospacing="true" w:before="100"/>
        <w:ind w:firstLine="720"/>
        <w:jc w:val="both"/>
      </w:pPr>
      <w:r w:rsidRPr="0089760C">
        <w:t>Stoga sud nije po službenoj dužnosti utvrđivao činjenicu visine troškova i kamata razlučnog vjerovnika Grad</w:t>
      </w:r>
      <w:r w:rsidR="00683467">
        <w:t>a Požege dospjelih u razdoblju 2.3.</w:t>
      </w:r>
      <w:r w:rsidRPr="0089760C">
        <w:t>2013</w:t>
      </w:r>
      <w:r w:rsidR="00683467">
        <w:t>. do 2.3.2016.,</w:t>
      </w:r>
      <w:r w:rsidRPr="0089760C">
        <w:t xml:space="preserve">   tri godine prije donošenja rješenja o dosudi, koji se  supsidijarnom primjenom čl. 1021 </w:t>
      </w:r>
      <w:r>
        <w:t>a ZPP-a smatraju nedokazanim.</w:t>
      </w:r>
    </w:p>
    <w:p w:rsidRDefault="0089760C" w:rsidP="0089760C" w:rsidR="0089760C" w:rsidRPr="0089760C">
      <w:pPr>
        <w:spacing w:beforeAutospacing="true" w:before="100"/>
        <w:ind w:firstLine="720"/>
        <w:jc w:val="both"/>
      </w:pPr>
      <w:r w:rsidRPr="0089760C">
        <w:t xml:space="preserve"> Pa kako ta činjenica nije dokazana, o istoj se odlučeno po pravilu o teretu dokazivanja, te sud utvrđuje da visine te tražbine nije dokazana, i  za istu nije moguće namiriti razlučnog vjerovnika Grad Požega. </w:t>
      </w:r>
    </w:p>
    <w:p w:rsidRDefault="0089760C" w:rsidP="0089760C" w:rsidR="0089760C">
      <w:pPr>
        <w:spacing w:beforeAutospacing="true" w:before="100"/>
        <w:ind w:firstLine="720"/>
        <w:jc w:val="both"/>
      </w:pPr>
      <w:r w:rsidRPr="0089760C">
        <w:lastRenderedPageBreak/>
        <w:t>Nakon namirenje razlučnog vjerovnika Grada Požega u dijelu u kojem je isti mogao biti namiren (za glavnicu), ostaje još za namiriti četvrto po redu razlučno pravo po Z-1712/12, od 30. 04. 2012, za preostali iznos od 112.869,00  kn  prema podacima u zemljišnoj knjizi, a to je razlučno pravo vjerovnika Hilding Anders d. o. o. Prelog (kao pravni sljednik upisan</w:t>
      </w:r>
      <w:r w:rsidR="00683467">
        <w:t>og razlučnog vjerovnika H</w:t>
      </w:r>
      <w:r w:rsidR="00E3234C">
        <w:t>ESPO</w:t>
      </w:r>
      <w:r w:rsidR="00683467">
        <w:t xml:space="preserve">) </w:t>
      </w:r>
      <w:r w:rsidRPr="0089760C">
        <w:t>.  Da se radi o razlučnom pravu tog vjerovnika proizlazi iz  povijesnog z. k. izvatka za predmetne nekretnine (str. 639 spisa), iz kojeg je vidljivo da je isto zasnovano temeljem rješenja o ovrsi Ovr-517/2012 od 24. 04. 2012</w:t>
      </w:r>
      <w:r w:rsidR="00683467">
        <w:t>.</w:t>
      </w:r>
      <w:r w:rsidRPr="0089760C">
        <w:t>, a isti ovršni prijedlog je u preslici je i predan u spis i nalazi se na str. 630 do 635 spisa.</w:t>
      </w:r>
    </w:p>
    <w:p w:rsidRDefault="000B2798" w:rsidP="0089760C" w:rsidR="000B2798" w:rsidRPr="0089760C">
      <w:pPr>
        <w:spacing w:beforeAutospacing="true" w:before="100"/>
        <w:ind w:firstLine="720"/>
        <w:jc w:val="both"/>
      </w:pPr>
      <w:r>
        <w:t xml:space="preserve">Iz povijesnog izvatka iz registra za Hilding Anders d.o.o. je utvrđeno da je ranije bio upisan kao HESPO d.o.o., koji je ishodio rješenje o ovrsi temeljem kojeg je izvršen upis zabilježbe u zemljišnim knjigama. </w:t>
      </w:r>
    </w:p>
    <w:p w:rsidRDefault="0089760C" w:rsidP="0089760C" w:rsidR="0089760C" w:rsidRPr="0089760C">
      <w:pPr>
        <w:spacing w:beforeAutospacing="true" w:before="100"/>
        <w:ind w:firstLine="720"/>
        <w:jc w:val="both"/>
      </w:pPr>
      <w:r w:rsidRPr="0089760C">
        <w:t xml:space="preserve">Iz ovršnog prijedloga proizlazi da se isti odnosi na  naplatu glavnice u iznosu od     130.769,29 kn  s zateznim kamatama koje teku od dospijeća pojedinačnih iznosa do isplate, kako je naznačeno u ovršnom prijedlogu. </w:t>
      </w:r>
    </w:p>
    <w:p w:rsidRDefault="0089760C" w:rsidP="0089760C" w:rsidR="0089760C">
      <w:pPr>
        <w:spacing w:beforeAutospacing="true" w:before="100"/>
        <w:ind w:firstLine="720"/>
        <w:jc w:val="both"/>
      </w:pPr>
      <w:r w:rsidRPr="0089760C">
        <w:t>Proizlazi da se od raspoloživog iznosa za isplatu može namiriti samo dio glavnice u iznosu od 112.869,00 kn. Razlučni vjerovnik Hilding Anders je dostavio obračun zateznih kamata  i troškova i isti se nalazi na str. 508 spisa) .  Iz istog obračuna  ne proizlazi da je taj razlučni vjerovnik u obračunu kamata jasno razdvojio tražbinu kamata te troškova (dospjelih u razdoblju od 02. 03. 2013</w:t>
      </w:r>
      <w:r w:rsidR="00683467">
        <w:t>.</w:t>
      </w:r>
      <w:r w:rsidRPr="0089760C">
        <w:t xml:space="preserve"> do 02. 03. 2016.), pa se u ovom postupku nije mogla utvrditi činjenica postojanja tražbina koja se naplaćuju u istom isplatnom redu s glavnicom . Kako se nije mogla utvrditi visina rele</w:t>
      </w:r>
      <w:r>
        <w:t>vantne</w:t>
      </w:r>
      <w:r w:rsidRPr="0089760C">
        <w:t xml:space="preserve"> tražbine koja se naplaćuje u istom isplatnom redu s glavnicom, nije primijenjen čl. 116 OZ-a, po kojem članku se više tražbina koje imaju isti red namirenja namiruju razmjerno svojoj visini, ako iznos dobiven prodajom nije dovoljan za potpuno namirenje.  </w:t>
      </w:r>
    </w:p>
    <w:p w:rsidRDefault="00E3234C" w:rsidP="0089760C" w:rsidR="00E3234C" w:rsidRPr="0089760C">
      <w:pPr>
        <w:spacing w:beforeAutospacing="true" w:before="100"/>
        <w:ind w:firstLine="720"/>
        <w:jc w:val="both"/>
      </w:pPr>
      <w:r>
        <w:t xml:space="preserve">Stoga </w:t>
      </w:r>
      <w:r w:rsidR="00DE2465">
        <w:t xml:space="preserve">je po pravilu o teretu dokazivanja </w:t>
      </w:r>
      <w:r w:rsidR="000B2798">
        <w:t xml:space="preserve">čl. 221 a ZPP-a </w:t>
      </w:r>
      <w:r w:rsidR="00DE2465">
        <w:t>djelomično namiren Hilding Anders d.o.o. za dio glavnice od 112.869,00 kn.</w:t>
      </w:r>
    </w:p>
    <w:p w:rsidRDefault="0089760C" w:rsidP="0089760C" w:rsidR="0089760C">
      <w:pPr>
        <w:ind w:firstLine="708"/>
      </w:pPr>
    </w:p>
    <w:p w:rsidRDefault="0089760C" w:rsidP="0089760C" w:rsidR="0089760C">
      <w:pPr>
        <w:ind w:firstLine="708"/>
      </w:pPr>
      <w:r w:rsidRPr="0089760C">
        <w:t> </w:t>
      </w:r>
      <w:r>
        <w:t>Slijedom izloženog odlučeno je kao u izreci rješenja na temelju čl. 164a st. 2. SZ-a NN 44/96, 161/98, 29/99, 129/00, 123/03, 197/03, 187/04, 82/06, 116/10, 125/12, 133/12, koji se primjenjuje po čl. 441. st. 1. Stečajnog zakona NN 71/15.</w:t>
      </w:r>
    </w:p>
    <w:p w:rsidRDefault="0089760C" w:rsidP="0089760C" w:rsidR="0089760C" w:rsidRPr="0089760C">
      <w:pPr>
        <w:spacing w:beforeAutospacing="true" w:before="100"/>
        <w:ind w:firstLine="720"/>
        <w:jc w:val="both"/>
      </w:pPr>
      <w:r w:rsidRPr="0089760C">
        <w:t>Temeljem odluke  ovog suda od 25. svibnja 2017., izvršena je isplata stečajnoj masi iznosa od 290.033,59 kn, prije djelomične pravomoćnosti iste odluke, pa je na poziv suda,  stečajna masa vratila na depozitni račun ovog suda iznos od  </w:t>
      </w:r>
      <w:r w:rsidRPr="0089760C">
        <w:rPr>
          <w:bCs/>
        </w:rPr>
        <w:t>271.140,85 kn, a ovim rješenjem se taj iznos ponovo vraća stečajnoj masi, tako da je naložena isplata i tog iznosa, osim iznosa za koje se određuje namirenje temeljem ovog rješenja i a za  H-Abduco d. o. o. je naložena  isplata razlike    između punog iznosa</w:t>
      </w:r>
      <w:r w:rsidR="00E3234C">
        <w:rPr>
          <w:bCs/>
        </w:rPr>
        <w:t xml:space="preserve"> namirenja</w:t>
      </w:r>
      <w:r w:rsidRPr="0089760C">
        <w:rPr>
          <w:bCs/>
        </w:rPr>
        <w:t xml:space="preserve">  i već isplaćenog iznosa. </w:t>
      </w:r>
    </w:p>
    <w:p w:rsidRDefault="0089760C" w:rsidP="0089760C" w:rsidR="0089760C" w:rsidRPr="0089760C">
      <w:pPr>
        <w:spacing w:beforeAutospacing="true" w:before="100"/>
        <w:ind w:firstLine="708"/>
        <w:jc w:val="both"/>
      </w:pPr>
      <w:r w:rsidRPr="0089760C">
        <w:t>U Slavonskom Brodu</w:t>
      </w:r>
      <w:r>
        <w:t xml:space="preserve"> 8. siječnja 2018.</w:t>
      </w:r>
    </w:p>
    <w:p w:rsidRDefault="0089760C" w:rsidP="0089760C" w:rsidR="0089760C" w:rsidRPr="0089760C">
      <w:pPr>
        <w:spacing w:beforeAutospacing="true" w:before="100"/>
        <w:jc w:val="both"/>
      </w:pPr>
      <w:r w:rsidRPr="0089760C">
        <w:t xml:space="preserve">                                                                                                         </w:t>
      </w:r>
      <w:r>
        <w:t>S</w:t>
      </w:r>
      <w:r w:rsidRPr="0089760C">
        <w:t>tečajni sudac</w:t>
      </w:r>
      <w:r>
        <w:t>:</w:t>
      </w:r>
      <w:r w:rsidRPr="0089760C">
        <w:t xml:space="preserve"> </w:t>
      </w:r>
    </w:p>
    <w:p w:rsidRDefault="0089760C" w:rsidP="0089760C" w:rsidR="0089760C" w:rsidRPr="0089760C">
      <w:pPr>
        <w:spacing w:afterAutospacing="true" w:after="100" w:beforeAutospacing="true" w:before="100"/>
        <w:jc w:val="both"/>
      </w:pPr>
      <w:r w:rsidRPr="0089760C">
        <w:t>                                                                                                        Daniela Martini Maoduš</w:t>
      </w:r>
    </w:p>
    <w:p w:rsidRDefault="0089760C" w:rsidP="0089760C" w:rsidR="0089760C" w:rsidRPr="0089760C">
      <w:pPr>
        <w:spacing w:afterAutospacing="true" w:after="100" w:beforeAutospacing="true" w:before="100"/>
        <w:jc w:val="both"/>
      </w:pPr>
      <w:r w:rsidRPr="0089760C">
        <w:t>  </w:t>
      </w:r>
    </w:p>
    <w:p w:rsidRDefault="0089760C" w:rsidP="0089760C" w:rsidR="0089760C" w:rsidRPr="0089760C">
      <w:pPr>
        <w:rPr>
          <w:sz w:val="20"/>
          <w:szCs w:val="20"/>
        </w:rPr>
      </w:pPr>
      <w:r w:rsidRPr="0089760C">
        <w:rPr>
          <w:sz w:val="20"/>
          <w:szCs w:val="20"/>
        </w:rPr>
        <w:lastRenderedPageBreak/>
        <w:t xml:space="preserve">Naputak o pravnom lijeku : Protiv ovog rješenja ima pravo stečajni upravitelj i sve osobe koje polažu pravo na namirenje iz kupovnine. </w:t>
      </w:r>
    </w:p>
    <w:p w:rsidRDefault="0089760C" w:rsidP="0089760C" w:rsidR="0089760C" w:rsidRPr="0089760C">
      <w:pPr>
        <w:rPr>
          <w:sz w:val="20"/>
          <w:szCs w:val="20"/>
        </w:rPr>
      </w:pPr>
      <w:r w:rsidRPr="0089760C">
        <w:rPr>
          <w:sz w:val="20"/>
          <w:szCs w:val="20"/>
        </w:rPr>
        <w:t xml:space="preserve">Žalba se ulaže u roku od 8 dana od dana primitka ovog rješenja.  Smatra se da je rješenje primljeno 8. Dana od objave ovog rješenja na e oglasnoj ploči O žalbi odlučuje Visoki trgovački sud. </w:t>
      </w:r>
    </w:p>
    <w:sectPr w:rsidR="0089760C" w:rsidRPr="0089760C">
      <w:footerReference w:type="defaul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47F" w:rsidP="0038278F" w:rsidR="005F747F">
      <w:r>
        <w:separator/>
      </w:r>
    </w:p>
  </w:endnote>
  <w:endnote w:id="0" w:type="continuationSeparator">
    <w:p w:rsidRDefault="005F747F" w:rsidP="0038278F" w:rsidR="005F74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0671653"/>
      <w:docPartObj>
        <w:docPartGallery w:val="Page Numbers (Bottom of Page)"/>
        <w:docPartUnique/>
      </w:docPartObj>
    </w:sdtPr>
    <w:sdtEndPr/>
    <w:sdtContent>
      <w:p w:rsidRDefault="0038278F" w:rsidR="0038278F">
        <w:pPr>
          <w:pStyle w:val="Podnoje"/>
          <w:jc w:val="center"/>
        </w:pPr>
        <w:r>
          <w:fldChar w:fldCharType="begin"/>
        </w:r>
        <w:r>
          <w:instrText>PAGE   \* MERGEFORMAT</w:instrText>
        </w:r>
        <w:r>
          <w:fldChar w:fldCharType="separate"/>
        </w:r>
        <w:r w:rsidR="008A63E1">
          <w:rPr>
            <w:noProof/>
          </w:rPr>
          <w:t>5</w:t>
        </w:r>
        <w:r>
          <w:fldChar w:fldCharType="end"/>
        </w:r>
      </w:p>
    </w:sdtContent>
  </w:sdt>
  <w:p w:rsidRDefault="0038278F" w:rsidR="003827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47F" w:rsidP="0038278F" w:rsidR="005F747F">
      <w:r>
        <w:separator/>
      </w:r>
    </w:p>
  </w:footnote>
  <w:footnote w:id="0" w:type="continuationSeparator">
    <w:p w:rsidRDefault="005F747F" w:rsidP="0038278F" w:rsidR="005F747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7271CF"/>
    <w:multiLevelType w:val="hybridMultilevel"/>
    <w:tmpl w:val="191EE25A"/>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5C1C"/>
    <w:rsid w:val="00010E0C"/>
    <w:rsid w:val="000B2798"/>
    <w:rsid w:val="00223877"/>
    <w:rsid w:val="0038278F"/>
    <w:rsid w:val="005F747F"/>
    <w:rsid w:val="00683467"/>
    <w:rsid w:val="0089760C"/>
    <w:rsid w:val="008A63E1"/>
    <w:rsid w:val="00BD2CD3"/>
    <w:rsid w:val="00C15C1C"/>
    <w:rsid w:val="00DE2465"/>
    <w:rsid w:val="00E3234C"/>
    <w:rsid w:val="00E94540"/>
    <w:rsid w:val="00F725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5C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15C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5C1C"/>
    <w:rPr>
      <w:rFonts w:cs="Tahoma" w:eastAsia="Times New Roman" w:hAnsi="Tahoma" w:ascii="Tahoma"/>
      <w:sz w:val="16"/>
      <w:szCs w:val="16"/>
      <w:lang w:eastAsia="hr-HR"/>
    </w:rPr>
  </w:style>
  <w:style w:styleId="Hiperveza" w:type="character">
    <w:name w:val="Hyperlink"/>
    <w:basedOn w:val="Zadanifontodlomka"/>
    <w:uiPriority w:val="99"/>
    <w:semiHidden/>
    <w:unhideWhenUsed/>
    <w:rsid w:val="0089760C"/>
    <w:rPr>
      <w:color w:val="0000FF"/>
      <w:u w:val="single"/>
    </w:rPr>
  </w:style>
  <w:style w:styleId="Zaglavlje" w:type="paragraph">
    <w:name w:val="header"/>
    <w:basedOn w:val="Normal"/>
    <w:link w:val="ZaglavljeChar"/>
    <w:uiPriority w:val="99"/>
    <w:unhideWhenUsed/>
    <w:rsid w:val="0038278F"/>
    <w:pPr>
      <w:tabs>
        <w:tab w:pos="4536" w:val="center"/>
        <w:tab w:pos="9072" w:val="right"/>
      </w:tabs>
    </w:pPr>
  </w:style>
  <w:style w:customStyle="true" w:styleId="ZaglavljeChar" w:type="character">
    <w:name w:val="Zaglavlje Char"/>
    <w:basedOn w:val="Zadanifontodlomka"/>
    <w:link w:val="Zaglavlje"/>
    <w:uiPriority w:val="99"/>
    <w:rsid w:val="0038278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8278F"/>
    <w:pPr>
      <w:tabs>
        <w:tab w:pos="4536" w:val="center"/>
        <w:tab w:pos="9072" w:val="right"/>
      </w:tabs>
    </w:pPr>
  </w:style>
  <w:style w:customStyle="true" w:styleId="PodnojeChar" w:type="character">
    <w:name w:val="Podnožje Char"/>
    <w:basedOn w:val="Zadanifontodlomka"/>
    <w:link w:val="Podnoje"/>
    <w:uiPriority w:val="99"/>
    <w:rsid w:val="0038278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A63E1"/>
    <w:rPr>
      <w:color w:val="808080"/>
      <w:bdr w:space="0" w:sz="0" w:color="auto" w:val="none"/>
      <w:shd w:fill="auto" w:color="auto" w:val="clear"/>
    </w:rPr>
  </w:style>
  <w:style w:customStyle="true" w:styleId="eSPISCCParagraphDefaultFont" w:type="character">
    <w:name w:val="eSPIS_CC_Paragraph Default Font"/>
    <w:basedOn w:val="Zadanifontodlomka"/>
    <w:rsid w:val="008A63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63E1"/>
    <w:rPr>
      <w:bdr w:space="0" w:sz="0" w:color="auto" w:val="none"/>
      <w:shd w:fill="FFFFCC" w:color="auto" w:val="clear"/>
      <w:lang w:val="hr-HR"/>
    </w:rPr>
  </w:style>
  <w:style w:customStyle="true" w:styleId="PozadinaSvijetloCrvena" w:type="character">
    <w:name w:val="Pozadina_SvijetloCrvena"/>
    <w:basedOn w:val="eSPISCCParagraphDefaultFont"/>
    <w:rsid w:val="008A63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63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5C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15C1C"/>
    <w:rPr>
      <w:rFonts w:ascii="Tahoma" w:cs="Tahoma" w:hAnsi="Tahoma"/>
      <w:sz w:val="16"/>
      <w:szCs w:val="16"/>
    </w:rPr>
  </w:style>
  <w:style w:customStyle="1" w:styleId="TekstbaloniaChar" w:type="character">
    <w:name w:val="Tekst balončića Char"/>
    <w:basedOn w:val="Zadanifontodlomka"/>
    <w:link w:val="Tekstbalonia"/>
    <w:uiPriority w:val="99"/>
    <w:semiHidden/>
    <w:rsid w:val="00C15C1C"/>
    <w:rPr>
      <w:rFonts w:ascii="Tahoma" w:cs="Tahoma" w:eastAsia="Times New Roman" w:hAnsi="Tahoma"/>
      <w:sz w:val="16"/>
      <w:szCs w:val="16"/>
      <w:lang w:eastAsia="hr-HR"/>
    </w:rPr>
  </w:style>
  <w:style w:styleId="Hiperveza" w:type="character">
    <w:name w:val="Hyperlink"/>
    <w:basedOn w:val="Zadanifontodlomka"/>
    <w:uiPriority w:val="99"/>
    <w:semiHidden/>
    <w:unhideWhenUsed/>
    <w:rsid w:val="0089760C"/>
    <w:rPr>
      <w:color w:val="0000FF"/>
      <w:u w:val="single"/>
    </w:rPr>
  </w:style>
  <w:style w:styleId="Zaglavlje" w:type="paragraph">
    <w:name w:val="header"/>
    <w:basedOn w:val="Normal"/>
    <w:link w:val="ZaglavljeChar"/>
    <w:uiPriority w:val="99"/>
    <w:unhideWhenUsed/>
    <w:rsid w:val="0038278F"/>
    <w:pPr>
      <w:tabs>
        <w:tab w:pos="4536" w:val="center"/>
        <w:tab w:pos="9072" w:val="right"/>
      </w:tabs>
    </w:pPr>
  </w:style>
  <w:style w:customStyle="1" w:styleId="ZaglavljeChar" w:type="character">
    <w:name w:val="Zaglavlje Char"/>
    <w:basedOn w:val="Zadanifontodlomka"/>
    <w:link w:val="Zaglavlje"/>
    <w:uiPriority w:val="99"/>
    <w:rsid w:val="0038278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8278F"/>
    <w:pPr>
      <w:tabs>
        <w:tab w:pos="4536" w:val="center"/>
        <w:tab w:pos="9072" w:val="right"/>
      </w:tabs>
    </w:pPr>
  </w:style>
  <w:style w:customStyle="1" w:styleId="PodnojeChar" w:type="character">
    <w:name w:val="Podnožje Char"/>
    <w:basedOn w:val="Zadanifontodlomka"/>
    <w:link w:val="Podnoje"/>
    <w:uiPriority w:val="99"/>
    <w:rsid w:val="0038278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A63E1"/>
    <w:rPr>
      <w:color w:val="808080"/>
      <w:bdr w:color="auto" w:space="0" w:sz="0" w:val="none"/>
      <w:shd w:color="auto" w:fill="auto" w:val="clear"/>
    </w:rPr>
  </w:style>
  <w:style w:customStyle="1" w:styleId="eSPISCCParagraphDefaultFont" w:type="character">
    <w:name w:val="eSPIS_CC_Paragraph Default Font"/>
    <w:basedOn w:val="Zadanifontodlomka"/>
    <w:rsid w:val="008A63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63E1"/>
    <w:rPr>
      <w:bdr w:color="auto" w:space="0" w:sz="0" w:val="none"/>
      <w:shd w:color="auto" w:fill="FFFFCC" w:val="clear"/>
      <w:lang w:val="hr-HR"/>
    </w:rPr>
  </w:style>
  <w:style w:customStyle="1" w:styleId="PozadinaSvijetloCrvena" w:type="character">
    <w:name w:val="Pozadina_SvijetloCrvena"/>
    <w:basedOn w:val="eSPISCCParagraphDefaultFont"/>
    <w:rsid w:val="008A63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63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330203">
      <w:bodyDiv w:val="true"/>
      <w:marLeft w:val="0"/>
      <w:marRight w:val="0"/>
      <w:marTop w:val="0"/>
      <w:marBottom w:val="0"/>
      <w:divBdr>
        <w:top w:space="0" w:sz="0" w:color="auto" w:val="none"/>
        <w:left w:space="0" w:sz="0" w:color="auto" w:val="none"/>
        <w:bottom w:space="0" w:sz="0" w:color="auto" w:val="none"/>
        <w:right w:space="0" w:sz="0" w:color="auto" w:val="none"/>
      </w:divBdr>
    </w:div>
    <w:div w:id="265037741">
      <w:bodyDiv w:val="true"/>
      <w:marLeft w:val="0"/>
      <w:marRight w:val="0"/>
      <w:marTop w:val="0"/>
      <w:marBottom w:val="0"/>
      <w:divBdr>
        <w:top w:space="0" w:sz="0" w:color="auto" w:val="none"/>
        <w:left w:space="0" w:sz="0" w:color="auto" w:val="none"/>
        <w:bottom w:space="0" w:sz="0" w:color="auto" w:val="none"/>
        <w:right w:space="0" w:sz="0" w:color="auto" w:val="none"/>
      </w:divBdr>
    </w:div>
    <w:div w:id="1265961501">
      <w:bodyDiv w:val="true"/>
      <w:marLeft w:val="0"/>
      <w:marRight w:val="0"/>
      <w:marTop w:val="0"/>
      <w:marBottom w:val="0"/>
      <w:divBdr>
        <w:top w:space="0" w:sz="0" w:color="auto" w:val="none"/>
        <w:left w:space="0" w:sz="0" w:color="auto" w:val="none"/>
        <w:bottom w:space="0" w:sz="0" w:color="auto" w:val="none"/>
        <w:right w:space="0" w:sz="0" w:color="auto" w:val="none"/>
      </w:divBdr>
    </w:div>
    <w:div w:id="20921163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aps.google.com/?q=Trg+pobjede+13%0D+35000+SLAVONSKI+BROD%0D+%C2%A0%C2%A0%C2%A0%C2%A0%C2%A0%C2%A0%C2%A0%C2%A0%C2%A0%C2%A0%C2%A0%C2%A0%C2%A0%C2%A0%C2%A0%C2%A0%C2%A0%C2%A0%C2%A0%C2%A0%C2%A0%C2%A0%C2%A0%C2%A0%C2%A0%C2%A0%C2%A0%C2%A0%C2%A0%C2%A0%C2%A0%C2%A0%C2%A0%C2%A0%C2%A0%C2%A0%C2%A0%C2%A0%C2%A0%C2%A0%C2%A0%C2%A0%C2%A0%C2%A0%C2%A0%C2%A0%C2%A0%C2%A0%C2%A0%C2%A0%C2%A0%C2%A0%C2%A0%C2%A0%C2%A0%C2%A0%C2%A0%C2%A0%C2%A0%C2%A0%C2%A0%C2%A0+REPUBLIKA+HRVATSKA&amp;entry=gmail&amp;source=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maps.google.com/?q=Trg+pobjede+13%0D+35000+SLAVONSKI+BROD%0D+%C2%A0%C2%A0%C2%A0%C2%A0%C2%A0%C2%A0%C2%A0%C2%A0%C2%A0%C2%A0%C2%A0%C2%A0%C2%A0%C2%A0%C2%A0%C2%A0%C2%A0%C2%A0%C2%A0%C2%A0%C2%A0%C2%A0%C2%A0%C2%A0%C2%A0%C2%A0%C2%A0%C2%A0%C2%A0%C2%A0%C2%A0%C2%A0%C2%A0%C2%A0%C2%A0%C2%A0%C2%A0%C2%A0%C2%A0%C2%A0%C2%A0%C2%A0%C2%A0%C2%A0%C2%A0%C2%A0%C2%A0%C2%A0%C2%A0%C2%A0%C2%A0%C2%A0%C2%A0%C2%A0%C2%A0%C2%A0%C2%A0%C2%A0%C2%A0%C2%A0%C2%A0%C2%A0+REPUBLIKA+HRVATSKA&amp;entry=gmail&amp;source=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maps.google.com/?q=Trg+pobjede+13%0D+35000+SLAVONSKI+BROD%0D+%C2%A0%C2%A0%C2%A0%C2%A0%C2%A0%C2%A0%C2%A0%C2%A0%C2%A0%C2%A0%C2%A0%C2%A0%C2%A0%C2%A0%C2%A0%C2%A0%C2%A0%C2%A0%C2%A0%C2%A0%C2%A0%C2%A0%C2%A0%C2%A0%C2%A0%C2%A0%C2%A0%C2%A0%C2%A0%C2%A0%C2%A0%C2%A0%C2%A0%C2%A0%C2%A0%C2%A0%C2%A0%C2%A0%C2%A0%C2%A0%C2%A0%C2%A0%C2%A0%C2%A0%C2%A0%C2%A0%C2%A0%C2%A0%C2%A0%C2%A0%C2%A0%C2%A0%C2%A0%C2%A0%C2%A0%C2%A0%C2%A0%C2%A0%C2%A0%C2%A0%C2%A0%C2%A0+REPUBLIKA+HRVATSKA&amp;entry=gmail&amp;source=g"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tel:(502)%20352-8049"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St-907/2013</izvorni_sadrzaj>
    <derivirana_varijabla naziv="DomainObject.Predmet.OznakaBroj_1">St-907/2013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dio kod Dubi, A III I IV kod suca</izvorni_sadrzaj>
    <derivirana_varijabla naziv="DomainObject.Predmet.PrimjedbaSuca_1">I,II   dio kod Dubi, A III I IV kod suca</derivirana_varijabla>
  </DomainObject.Predmet.PrimjedbaSuca>
  <DomainObject.Predmet.ProtustrankaFormated>
    <izvorni_sadrzaj>  IDEAL d. o. o. , POŽEGA</izvorni_sadrzaj>
    <derivirana_varijabla naziv="DomainObject.Predmet.ProtustrankaFormated_1">  IDEAL d. o. o. , POŽEGA</derivirana_varijabla>
  </DomainObject.Predmet.ProtustrankaFormated>
  <DomainObject.Predmet.ProtustrankaFormatedOIB>
    <izvorni_sadrzaj>  IDEAL d. o. o. , POŽEGA, OIB 15023528049</izvorni_sadrzaj>
    <derivirana_varijabla naziv="DomainObject.Predmet.ProtustrankaFormatedOIB_1">  IDEAL d. o. o. , POŽEGA, OIB 15023528049</derivirana_varijabla>
  </DomainObject.Predmet.ProtustrankaFormatedOIB>
  <DomainObject.Predmet.ProtustrankaFormatedWithAdress>
    <izvorni_sadrzaj> IDEAL d. o. o. , POŽEGA, Novi Štitnjak 22/A, Požega</izvorni_sadrzaj>
    <derivirana_varijabla naziv="DomainObject.Predmet.ProtustrankaFormatedWithAdress_1"> IDEAL d. o. o. , POŽEGA, Novi Štitnjak 22/A, Požega</derivirana_varijabla>
  </DomainObject.Predmet.ProtustrankaFormatedWithAdress>
  <DomainObject.Predmet.ProtustrankaFormatedWithAdressOIB>
    <izvorni_sadrzaj> IDEAL d. o. o. , POŽEGA, OIB 15023528049, Novi Štitnjak 22/A, Požega</izvorni_sadrzaj>
    <derivirana_varijabla naziv="DomainObject.Predmet.ProtustrankaFormatedWithAdressOIB_1"> IDEAL d. o. o. , POŽEGA, OIB 15023528049, Novi Štitnjak 22/A, Požega</derivirana_varijabla>
  </DomainObject.Predmet.ProtustrankaFormatedWithAdressOIB>
  <DomainObject.Predmet.ProtustrankaWithAdress>
    <izvorni_sadrzaj>IDEAL d. o. o. , POŽEGA Novi Štitnjak 22/A, Požega</izvorni_sadrzaj>
    <derivirana_varijabla naziv="DomainObject.Predmet.ProtustrankaWithAdress_1">IDEAL d. o. o. , POŽEGA Novi Štitnjak 22/A, Požega</derivirana_varijabla>
  </DomainObject.Predmet.ProtustrankaWithAdress>
  <DomainObject.Predmet.ProtustrankaWithAdressOIB>
    <izvorni_sadrzaj>IDEAL d. o. o. , POŽEGA, OIB 15023528049, Novi Štitnjak 22/A, Požega</izvorni_sadrzaj>
    <derivirana_varijabla naziv="DomainObject.Predmet.ProtustrankaWithAdressOIB_1">IDEAL d. o. o. , POŽEGA, OIB 15023528049, Novi Štitnjak 22/A, Požega</derivirana_varijabla>
  </DomainObject.Predmet.ProtustrankaWithAdressOIB>
  <DomainObject.Predmet.ProtustrankaNazivFormated>
    <izvorni_sadrzaj>IDEAL d. o. o. , POŽEGA</izvorni_sadrzaj>
    <derivirana_varijabla naziv="DomainObject.Predmet.ProtustrankaNazivFormated_1">IDEAL d. o. o. , POŽEGA</derivirana_varijabla>
  </DomainObject.Predmet.ProtustrankaNazivFormated>
  <DomainObject.Predmet.ProtustrankaNazivFormatedOIB>
    <izvorni_sadrzaj>IDEAL d. o. o. , POŽEGA, OIB 15023528049</izvorni_sadrzaj>
    <derivirana_varijabla naziv="DomainObject.Predmet.ProtustrankaNazivFormatedOIB_1">IDEAL d. o. o. , POŽEGA, OIB 15023528049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TRG F.TUĐMANA 2, 32100 Vinkovci</izvorni_sadrzaj>
    <derivirana_varijabla naziv="DomainObject.Predmet.StrankaFormatedWithAdress_1"> FINA- REGIONALNI CENTAR OSIJEK, TRG F.TUĐMANA 2, 32100 Vinkovci</derivirana_varijabla>
  </DomainObject.Predmet.StrankaFormatedWithAdress>
  <DomainObject.Predmet.StrankaFormatedWithAdressOIB>
    <izvorni_sadrzaj> FINA- REGIONALNI CENTAR OSIJEK, TRG F.TUĐMANA 2, 32100 Vinkovci</izvorni_sadrzaj>
    <derivirana_varijabla naziv="DomainObject.Predmet.StrankaFormatedWithAdressOIB_1"> FINA- REGIONALNI CENTAR OSIJEK, TRG F.TUĐMANA 2, 32100 Vinkovci</derivirana_varijabla>
  </DomainObject.Predmet.StrankaFormatedWithAdressOIB>
  <DomainObject.Predmet.StrankaWithAdress>
    <izvorni_sadrzaj>FINA- REGIONALNI CENTAR OSIJEK TRG F.TUĐMANA 2,32100 Vinkovci</izvorni_sadrzaj>
    <derivirana_varijabla naziv="DomainObject.Predmet.StrankaWithAdress_1">FINA- REGIONALNI CENTAR OSIJEK TRG F.TUĐMANA 2,32100 Vinkovci</derivirana_varijabla>
  </DomainObject.Predmet.StrankaWithAdress>
  <DomainObject.Predmet.StrankaWithAdressOIB>
    <izvorni_sadrzaj>FINA- REGIONALNI CENTAR OSIJEK, TRG F.TUĐMANA 2,32100 Vinkovci</izvorni_sadrzaj>
    <derivirana_varijabla naziv="DomainObject.Predmet.StrankaWithAdressOIB_1">FINA- REGIONALNI CENTAR OSIJEK, TRG F.TUĐMANA 2,32100 Vinkovci</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TRG F.TUĐMANA 2, 32100 Vinkovci</item>
    </izvorni_sadrzaj>
    <derivirana_varijabla naziv="DomainObject.Predmet.StrankaListFormatedWithAdress_1">
      <item>FINA- REGIONALNI CENTAR OSIJEK, TRG F.TUĐMANA 2, 32100 Vinkovci</item>
    </derivirana_varijabla>
  </DomainObject.Predmet.StrankaListFormatedWithAdress>
  <DomainObject.Predmet.StrankaListFormatedWithAdressOIB>
    <izvorni_sadrzaj>
      <item>FINA- REGIONALNI CENTAR OSIJEK, TRG F.TUĐMANA 2, 32100 Vinkovci</item>
    </izvorni_sadrzaj>
    <derivirana_varijabla naziv="DomainObject.Predmet.StrankaListFormatedWithAdressOIB_1">
      <item>FINA- REGIONALNI CENTAR OSIJEK, TRG F.TUĐMANA 2, 32100 Vinkovci</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IDEAL d. o. o. , POŽEGA</item>
    </izvorni_sadrzaj>
    <derivirana_varijabla naziv="DomainObject.Predmet.ProtuStrankaListFormated_1">
      <item>IDEAL d. o. o. , POŽEGA</item>
    </derivirana_varijabla>
  </DomainObject.Predmet.ProtuStrankaListFormated>
  <DomainObject.Predmet.ProtuStrankaListFormatedOIB>
    <izvorni_sadrzaj>
      <item>IDEAL d. o. o. , POŽEGA, OIB 15023528049</item>
    </izvorni_sadrzaj>
    <derivirana_varijabla naziv="DomainObject.Predmet.ProtuStrankaListFormatedOIB_1">
      <item>IDEAL d. o. o. , POŽEGA, OIB 15023528049</item>
    </derivirana_varijabla>
  </DomainObject.Predmet.ProtuStrankaListFormatedOIB>
  <DomainObject.Predmet.ProtuStrankaListFormatedWithAdress>
    <izvorni_sadrzaj>
      <item>IDEAL d. o. o. , POŽEGA, Novi Štitnjak 22/A, Požega</item>
    </izvorni_sadrzaj>
    <derivirana_varijabla naziv="DomainObject.Predmet.ProtuStrankaListFormatedWithAdress_1">
      <item>IDEAL d. o. o. , POŽEGA, Novi Štitnjak 22/A, Požega</item>
    </derivirana_varijabla>
  </DomainObject.Predmet.ProtuStrankaListFormatedWithAdress>
  <DomainObject.Predmet.ProtuStrankaListFormatedWithAdressOIB>
    <izvorni_sadrzaj>
      <item>IDEAL d. o. o. , POŽEGA, OIB 15023528049, Novi Štitnjak 22/A, Požega</item>
    </izvorni_sadrzaj>
    <derivirana_varijabla naziv="DomainObject.Predmet.ProtuStrankaListFormatedWithAdressOIB_1">
      <item>IDEAL d. o. o. , POŽEGA, OIB 15023528049, Novi Štitnjak 22/A, Požega</item>
    </derivirana_varijabla>
  </DomainObject.Predmet.ProtuStrankaListFormatedWithAdressOIB>
  <DomainObject.Predmet.ProtuStrankaListNazivFormated>
    <izvorni_sadrzaj>
      <item>IDEAL d. o. o. , POŽEGA</item>
    </izvorni_sadrzaj>
    <derivirana_varijabla naziv="DomainObject.Predmet.ProtuStrankaListNazivFormated_1">
      <item>IDEAL d. o. o. , POŽEGA</item>
    </derivirana_varijabla>
  </DomainObject.Predmet.ProtuStrankaListNazivFormated>
  <DomainObject.Predmet.ProtuStrankaListNazivFormatedOIB>
    <izvorni_sadrzaj>
      <item>IDEAL d. o. o. , POŽEGA, OIB 15023528049</item>
    </izvorni_sadrzaj>
    <derivirana_varijabla naziv="DomainObject.Predmet.ProtuStrankaListNazivFormatedOIB_1">
      <item>IDEAL d. o. o. , POŽEGA, OIB 15023528049</item>
    </derivirana_varijabla>
  </DomainObject.Predmet.ProtuStrankaListNazivFormatedOIB>
  <DomainObject.Predmet.OstaliList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Formated>
  <DomainObject.Predmet.OstaliList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FormatedOIB>
  <DomainObject.Predmet.OstaliListFormatedWithAdress>
    <izvorni_sadrzaj>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izvorni_sadrzaj>
    <derivirana_varijabla naziv="DomainObject.Predmet.OstaliListFormatedWithAdress_1">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derivirana_varijabla>
  </DomainObject.Predmet.OstaliListFormatedWithAdress>
  <DomainObject.Predmet.OstaliListFormatedWithAdressOIB>
    <izvorni_sadrzaj>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izvorni_sadrzaj>
    <derivirana_varijabla naziv="DomainObject.Predmet.OstaliListFormatedWithAdressOIB_1">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derivirana_varijabla>
  </DomainObject.Predmet.OstaliListFormatedWithAdressOIB>
  <DomainObject.Predmet.OstaliListNaziv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Naziv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NazivFormated>
  <DomainObject.Predmet.OstaliListNaziv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Naziv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IDEAL d. o. o. , POŽEGA</izvorni_sadrzaj>
    <derivirana_varijabla naziv="DomainObject.Predmet.ProtustrankaIDrugi_1">IDEAL d. o. o. , POŽEGA</derivirana_varijabla>
  </DomainObject.Predmet.ProtustrankaIDrugi>
  <DomainObject.Predmet.StrankaIDrugiAdressOIB>
    <izvorni_sadrzaj>FINA- REGIONALNI CENTAR OSIJEK, TRG F.TUĐMANA 2, 32100 Vinkovci</izvorni_sadrzaj>
    <derivirana_varijabla naziv="DomainObject.Predmet.StrankaIDrugiAdressOIB_1">FINA- REGIONALNI CENTAR OSIJEK, TRG F.TUĐMANA 2, 32100 Vinkovci</derivirana_varijabla>
  </DomainObject.Predmet.StrankaIDrugiAdressOIB>
  <DomainObject.Predmet.ProtustrankaIDrugiAdressOIB>
    <izvorni_sadrzaj>IDEAL d. o. o. , POŽEGA, OIB 15023528049, Novi Štitnjak 22/A, Požega</izvorni_sadrzaj>
    <derivirana_varijabla naziv="DomainObject.Predmet.ProtustrankaIDrugiAdressOIB_1">IDEAL d. o. o. , POŽEGA, OIB 15023528049, Novi Štitnjak 22/A,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SudioniciListNaziv_1">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SudioniciListNaziv>
  <DomainObject.Predmet.SudioniciListAdressOIB>
    <izvorni_sadrzaj>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izvorni_sadrzaj>
    <derivirana_varijabla naziv="DomainObject.Predmet.SudioniciListAdressOIB_1">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15023528049</item>
      <item>, OIB null</item>
      <item>, OIB 36068029114</item>
      <item>, OIB 64546066176</item>
      <item>, OIB null</item>
      <item>, OIB null</item>
    </izvorni_sadrzaj>
    <derivirana_varijabla naziv="DomainObject.Predmet.SudioniciListNazivOIB_1">
      <item>, OIB null</item>
      <item>, OIB 15023528049</item>
      <item>, OIB null</item>
      <item>, OIB 36068029114</item>
      <item>, OIB 64546066176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4A9656-CF66-4F4D-84E6-9520D034D2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1804</properties:Words>
  <properties:Characters>9229</properties:Characters>
  <properties:Lines>159</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2018-01-08T08:30:00Z</dcterms:created>
  <dc:creator>wsadmin</dc:creator>
  <cp:lastModifiedBy>wsadmin</cp:lastModifiedBy>
  <cp:lastPrinted>2018-01-08T08:24:00Z</cp:lastPrinted>
  <dcterms:modified xmlns:xsi="http://www.w3.org/2001/XMLSchema-instance" xsi:type="dcterms:W3CDTF">2018-01-08T08:30:00Z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