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db02" w14:paraId="50edb02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A6747B" w:rsidRPr="00A6747B">
        <w:t>JAMBO PROMET d.o.o. za proizvodnju, trgovinu i usluge "u stečaju",  Metković, Splitska  bb, MBS: 060158402, OIB: 69588435053, zastupanog po stečajnom upravitelju Krešimir Peroš, Zadar, I. Gundulića 4d</w:t>
      </w:r>
      <w:r w:rsidRPr="009C23CC">
        <w:t xml:space="preserve">, </w:t>
      </w:r>
      <w:r w:rsidR="001F2999" w:rsidRPr="009C23CC">
        <w:t xml:space="preserve">dana </w:t>
      </w:r>
      <w:r w:rsidR="00A6747B">
        <w:t>14</w:t>
      </w:r>
      <w:r w:rsidR="004F6442">
        <w:t xml:space="preserve">. </w:t>
      </w:r>
      <w:r w:rsidR="00A6747B">
        <w:t>kolovoz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125B33" w:rsidP="00125B33" w:rsidR="000F6F14">
      <w:pPr>
        <w:pStyle w:val="Odlomakpopisa"/>
        <w:numPr>
          <w:ilvl w:val="0"/>
          <w:numId w:val="6"/>
        </w:numPr>
        <w:jc w:val="both"/>
      </w:pPr>
      <w:r w:rsidRPr="00125B33">
        <w:t>čest. br. 117 – pašnjak upisana kod Općinskog suda u Dubrovniku u  z.ul. 135, za k.o. Gruž</w:t>
      </w:r>
      <w:r w:rsidR="007C0939">
        <w:t>,</w:t>
      </w:r>
    </w:p>
    <w:p w:rsidRDefault="007C0939" w:rsidP="00C41155" w:rsidR="007C0939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A6747B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06</w:t>
      </w:r>
      <w:r w:rsidR="00A81888">
        <w:rPr>
          <w:b/>
          <w:u w:val="single"/>
        </w:rPr>
        <w:t xml:space="preserve">. </w:t>
      </w:r>
      <w:r>
        <w:rPr>
          <w:b/>
          <w:u w:val="single"/>
        </w:rPr>
        <w:t>rujn</w:t>
      </w:r>
      <w:r w:rsidR="00D921C2">
        <w:rPr>
          <w:b/>
          <w:u w:val="single"/>
        </w:rPr>
        <w:t xml:space="preserve">a 2017.g. u </w:t>
      </w:r>
      <w:r>
        <w:rPr>
          <w:b/>
          <w:u w:val="single"/>
        </w:rPr>
        <w:t>1</w:t>
      </w:r>
      <w:r w:rsidR="00125B33">
        <w:rPr>
          <w:b/>
          <w:u w:val="single"/>
        </w:rPr>
        <w:t>1</w:t>
      </w:r>
      <w:r w:rsidR="009A39D6" w:rsidRPr="009C23CC">
        <w:rPr>
          <w:b/>
          <w:u w:val="single"/>
        </w:rPr>
        <w:t>,</w:t>
      </w:r>
      <w:r w:rsidR="00125B33"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A6747B">
        <w:rPr>
          <w:b/>
        </w:rPr>
        <w:t>4</w:t>
      </w:r>
      <w:r w:rsidR="00C41155">
        <w:rPr>
          <w:b/>
        </w:rPr>
        <w:t xml:space="preserve">. </w:t>
      </w:r>
      <w:r w:rsidR="00A6747B">
        <w:rPr>
          <w:b/>
        </w:rPr>
        <w:t>kolovoz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A6747B" w:rsidR="009B6494" w:rsidRPr="00A6747B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650BAA">
        <w:rPr>
          <w:rFonts w:eastAsiaTheme="minorHAnsi"/>
          <w:lang w:eastAsia="en-US"/>
        </w:rPr>
        <w:t>stečajnom upravitelju Krešimir Peroš, Zadar, I. Gundulića 4d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>razlučnom vjerovniku RAIFFEISENBANK AUSTRIA d.d.Zagreb po punomoćniku Mariji Jerković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>razlučnom vjerovniku REPUBLIKA HRVATSKA, po ŽDO Dubrovnik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 xml:space="preserve">razlučnom vjerovniku KREDITNA BANKA ZAGREB d.d. Zagreb po punomoćnicima iz OD Grgić &amp; partneri, Zagreb </w:t>
      </w:r>
    </w:p>
    <w:p w:rsidRDefault="00650BAA" w:rsidP="00650BAA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>Mrežna stranica e-oglasna ploča suda</w:t>
      </w:r>
    </w:p>
    <w:p w:rsidRDefault="00A6747B" w:rsidP="007C0939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sectPr w:rsidSect="006A7784" w:rsidR="00A6747B" w:rsidRPr="00A6747B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4D6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A6747B">
      <w:t>173</w:t>
    </w:r>
    <w:r w:rsidRPr="006C6869">
      <w:t>/2016-</w:t>
    </w:r>
    <w:r w:rsidR="00125B33"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54D0"/>
    <w:rsid w:val="000E5AE6"/>
    <w:rsid w:val="000E6CD4"/>
    <w:rsid w:val="000F6F14"/>
    <w:rsid w:val="00107AC3"/>
    <w:rsid w:val="00125B3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104D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492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1023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1218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2017-08-14T08:32:00Z</dcterms:created>
  <dc:creator>sgrcic</dc:creator>
  <cp:lastModifiedBy>Katarina Franković</cp:lastModifiedBy>
  <cp:lastPrinted>2017-08-14T08:33:00Z</cp:lastPrinted>
  <dcterms:modified xmlns:xsi="http://www.w3.org/2001/XMLSchema-instance" xsi:type="dcterms:W3CDTF">2017-08-14T08:33:00Z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