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c0e3" w14:paraId="52bc0e3" w:rsidRDefault="009C59D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C59D0" w:rsidP="009C59D0" w:rsidR="0037715F">
      <w:pPr>
        <w:pStyle w:val="Bezproreda"/>
      </w:pPr>
      <w:r>
        <w:t xml:space="preserve">   </w:t>
      </w:r>
    </w:p>
    <w:p w:rsidRDefault="0037715F" w:rsidP="009C59D0" w:rsidR="0037715F">
      <w:pPr>
        <w:pStyle w:val="Bezproreda"/>
      </w:pPr>
    </w:p>
    <w:p w:rsidRDefault="0037715F" w:rsidP="009C59D0" w:rsidR="00AE649C">
      <w:pPr>
        <w:pStyle w:val="Bezproreda"/>
      </w:pPr>
      <w:r>
        <w:t xml:space="preserve">     </w:t>
      </w:r>
      <w:r w:rsidR="009C59D0">
        <w:t xml:space="preserve"> Republika Hrvatska</w:t>
      </w:r>
    </w:p>
    <w:p w:rsidRDefault="009C59D0" w:rsidP="009C59D0" w:rsidR="009C59D0">
      <w:pPr>
        <w:pStyle w:val="Bezproreda"/>
      </w:pPr>
      <w:r>
        <w:t>Trgovački sud u Bjelovaru</w:t>
      </w:r>
    </w:p>
    <w:p w:rsidRDefault="009C59D0" w:rsidP="009C59D0" w:rsidR="009C59D0">
      <w:pPr>
        <w:pStyle w:val="Bezproreda"/>
      </w:pPr>
      <w:r>
        <w:t>Bjelovar, Dr. I. Lebovića 42.</w:t>
      </w:r>
    </w:p>
    <w:p w:rsidRDefault="009C59D0" w:rsidP="009C59D0" w:rsidR="009C59D0">
      <w:pPr>
        <w:pStyle w:val="Bezproreda"/>
      </w:pPr>
    </w:p>
    <w:p w:rsidRDefault="009C59D0" w:rsidP="009C59D0" w:rsidR="009C59D0">
      <w:pPr>
        <w:spacing w:after="0"/>
        <w:ind w:firstLine="708" w:left="4956"/>
        <w:rPr>
          <w:rFonts w:cs="Times New Roman" w:hAnsi="Times New Roman" w:ascii="Times New Roman"/>
          <w:sz w:val="24"/>
          <w:szCs w:val="24"/>
          <w:lang w:val="hr-HR"/>
        </w:rPr>
      </w:pPr>
      <w:r>
        <w:rPr>
          <w:rFonts w:cs="Times New Roman" w:hAnsi="Times New Roman" w:ascii="Times New Roman"/>
          <w:color w:val="000000"/>
          <w:sz w:val="24"/>
          <w:szCs w:val="24"/>
          <w:lang w:val="hr-HR"/>
        </w:rPr>
        <w:t>Poslovni broj:1 St-698/2018-13</w:t>
      </w:r>
    </w:p>
    <w:p w:rsidRDefault="009C59D0" w:rsidP="009C59D0" w:rsidR="009C59D0">
      <w:pPr>
        <w:spacing w:after="0"/>
        <w:rPr>
          <w:rFonts w:cs="Times New Roman" w:hAnsi="Times New Roman" w:ascii="Times New Roman"/>
          <w:sz w:val="24"/>
          <w:szCs w:val="24"/>
          <w:lang w:val="hr-HR"/>
        </w:rPr>
      </w:pPr>
    </w:p>
    <w:p w:rsidRDefault="009C59D0" w:rsidP="009C59D0" w:rsidR="009C59D0">
      <w:pPr>
        <w:spacing w:after="0"/>
        <w:ind w:firstLine="708" w:left="1416"/>
        <w:rPr>
          <w:rFonts w:cs="Times New Roman" w:hAnsi="Times New Roman" w:ascii="Times New Roman"/>
          <w:sz w:val="24"/>
          <w:szCs w:val="24"/>
          <w:lang w:val="hr-HR"/>
        </w:rPr>
      </w:pPr>
      <w:r>
        <w:rPr>
          <w:rFonts w:cs="Times New Roman" w:hAnsi="Times New Roman" w:ascii="Times New Roman"/>
          <w:sz w:val="24"/>
          <w:szCs w:val="24"/>
          <w:lang w:val="hr-HR"/>
        </w:rPr>
        <w:t>U     I M E    R E P U B L I K E     H R V A T S K E</w:t>
      </w:r>
    </w:p>
    <w:p w:rsidRDefault="009C59D0" w:rsidP="009C59D0" w:rsidR="009C59D0">
      <w:pPr>
        <w:spacing w:after="0"/>
        <w:jc w:val="center"/>
        <w:rPr>
          <w:rFonts w:cs="Times New Roman" w:hAnsi="Times New Roman" w:ascii="Times New Roman"/>
          <w:sz w:val="24"/>
          <w:szCs w:val="24"/>
          <w:lang w:val="hr-HR"/>
        </w:rPr>
      </w:pPr>
    </w:p>
    <w:p w:rsidRDefault="009C59D0" w:rsidP="009C59D0" w:rsidR="009C59D0">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R J E Š E N J E</w:t>
      </w:r>
    </w:p>
    <w:p w:rsidRDefault="009C59D0" w:rsidP="009C59D0" w:rsidR="009C59D0">
      <w:pPr>
        <w:spacing w:after="0"/>
        <w:rPr>
          <w:rFonts w:cs="Times New Roman" w:hAnsi="Times New Roman" w:ascii="Times New Roman"/>
          <w:sz w:val="24"/>
          <w:szCs w:val="24"/>
          <w:lang w:val="hr-HR"/>
        </w:rPr>
      </w:pPr>
    </w:p>
    <w:p w:rsidRDefault="009C59D0" w:rsidP="0037715F" w:rsidR="009C59D0">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Trgovački sud u Bjelovaru, po  sucu Branki Pleskalt,  u predmetu stečaja nad  Stečajnom masom iza dužnika GeoKOM d.o.o.  u stečaju, Našice, Trg dr. Franje Tuđmana 12, OIB: 21774528857,   13. ožujka  2019. </w:t>
      </w:r>
    </w:p>
    <w:p w:rsidRDefault="009C59D0" w:rsidP="0037715F" w:rsidR="009C59D0">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r i j e š i o     j e</w:t>
      </w:r>
    </w:p>
    <w:p w:rsidRDefault="009C59D0" w:rsidP="0037715F" w:rsidR="009C59D0">
      <w:pPr>
        <w:spacing w:after="0"/>
        <w:jc w:val="center"/>
        <w:rPr>
          <w:rFonts w:cs="Times New Roman" w:hAnsi="Times New Roman" w:ascii="Times New Roman"/>
          <w:sz w:val="24"/>
          <w:szCs w:val="24"/>
          <w:lang w:val="hr-HR"/>
        </w:rPr>
      </w:pPr>
    </w:p>
    <w:p w:rsidRDefault="009C59D0" w:rsidP="0037715F" w:rsidR="009C59D0">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1. Obustavlja se i zaključuje stečajni postupak nad Stečajnom masom iza dužnika GeoKOM d.o.o.  u stečaju, Našice, Trg dr. Franje Tuđmana 12, OIB: 21774528857, temeljem članka 293. Stečajnog zakona (NN br. 44/96, 29/99, 129/00, 123/03, 197/03, 187/04, 82/06, 116/10, 25/12, 133/12 i 71/15, dalje: SZ).</w:t>
      </w:r>
    </w:p>
    <w:p w:rsidRDefault="009C59D0" w:rsidP="0037715F" w:rsidR="009C59D0">
      <w:pPr>
        <w:spacing w:after="0"/>
        <w:jc w:val="both"/>
        <w:rPr>
          <w:rFonts w:cs="Times New Roman" w:hAnsi="Times New Roman" w:ascii="Times New Roman"/>
          <w:color w:val="000000"/>
          <w:sz w:val="24"/>
          <w:szCs w:val="24"/>
          <w:lang w:val="hr-HR"/>
        </w:rPr>
      </w:pPr>
    </w:p>
    <w:p w:rsidRDefault="009C59D0" w:rsidP="0037715F" w:rsidR="009C59D0">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2. Ovo rješenje objaviti će se na e-oglasnoj ploči suda i dostaviti će se nakon pravomoćnosti registru Trgovačkog suda u Zagrebu, radi brisanja stečajnog dužnika iz sudskog registra.</w:t>
      </w:r>
    </w:p>
    <w:p w:rsidRDefault="009C59D0" w:rsidP="0037715F" w:rsidR="009C59D0">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Obrazloženje</w:t>
      </w:r>
    </w:p>
    <w:p w:rsidRDefault="009C59D0" w:rsidP="0037715F" w:rsidR="009C59D0">
      <w:pPr>
        <w:spacing w:after="0"/>
        <w:jc w:val="both"/>
        <w:rPr>
          <w:rFonts w:cs="Times New Roman" w:hAnsi="Times New Roman" w:ascii="Times New Roman"/>
          <w:sz w:val="24"/>
          <w:szCs w:val="24"/>
          <w:lang w:val="hr-HR"/>
        </w:rPr>
      </w:pPr>
    </w:p>
    <w:p w:rsidRDefault="009C59D0" w:rsidP="0037715F" w:rsidR="009C59D0">
      <w:pPr>
        <w:pStyle w:val="Bezproreda"/>
        <w:jc w:val="both"/>
      </w:pPr>
      <w:r>
        <w:tab/>
        <w:t xml:space="preserve">Rješenjem ovog suda poslovni broj: 1 St-100/2017-10 od dana 6. lipnja 2018. godine određen je nastavak stečajnog postupka nad Stečajnom masom iza dužnika </w:t>
      </w:r>
      <w:r>
        <w:rPr>
          <w:color w:val="000000"/>
        </w:rPr>
        <w:t xml:space="preserve">GeoKOM d.o.o.  u stečaju, Našice, Trg dr. Franje Tuđmana 12, OIB: 21774528857, </w:t>
      </w:r>
      <w:r>
        <w:t>te je određen i upis stečajne mase brisanog dužnika u sudski registar kao i upis stečajnog upravitelja.</w:t>
      </w:r>
    </w:p>
    <w:p w:rsidRDefault="009C59D0" w:rsidP="0037715F" w:rsidR="009C59D0">
      <w:pPr>
        <w:pStyle w:val="Bezproreda"/>
        <w:jc w:val="both"/>
      </w:pPr>
    </w:p>
    <w:p w:rsidRDefault="009C59D0" w:rsidP="0037715F" w:rsidR="009C59D0">
      <w:pPr>
        <w:spacing w:after="0"/>
        <w:ind w:firstLine="708"/>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Svojim podneskom dana 4. ožujka 2019. godine stečajna upraviteljica je dostavila na spis pismeno izvješće o tijeku stečajnog postupka i stanju stečajne mase. U prijedlogu navodi da je u dosadašnjem tijeku postupka ostvarila iznos od 10.847,92 kune, koji iznos predstavlja jedinu i cjelokupnu dužnikovu stečajnu masu. Od ostvarenog iznosa podmireni su troškovi izrade pečata u iznosu od 100,00 kuna, trošak javnog bilježnika u iznosu od 48,50 kuna, trošak poštarine u iznosu od 52,00 kuna te nagrada stečajnog upravitelja u bruto iznosu od 6.450,00 kuna. Nakon namirenja troškova stečajnog postupka preostali iznos od 4.197,42 kune koristiti će se za troškove do zatvaranja stečajnog postupka koji se odnose na naknadu banke za vođenje i zatvaranje računa (cca 300 kuna), knjigovodstvene usluge za 2018. i 2019. godinu (1.500,00 kuna), trošak javne objave GFI za 2019. i 2019. godinu (460,00 kuna) te </w:t>
      </w:r>
      <w:r>
        <w:rPr>
          <w:rFonts w:cs="Times New Roman" w:hAnsi="Times New Roman" w:ascii="Times New Roman"/>
          <w:sz w:val="24"/>
          <w:szCs w:val="24"/>
          <w:lang w:val="hr-HR"/>
        </w:rPr>
        <w:lastRenderedPageBreak/>
        <w:t>javne prihode do zatvaranja stečaja. Preostala sredstva nakon zaključenja stečaja doznačiti će se kao konto Fonda za namirenje troškova stečajnog postupka. Sukladno svemu naprijed navedenom, predlaže da sud ovaj postupak obustavi i  zaključi.</w:t>
      </w:r>
    </w:p>
    <w:p w:rsidRDefault="009C59D0" w:rsidP="0037715F" w:rsidR="009C59D0">
      <w:pPr>
        <w:spacing w:after="0"/>
        <w:jc w:val="both"/>
        <w:rPr>
          <w:rFonts w:cs="Times New Roman" w:hAnsi="Times New Roman" w:ascii="Times New Roman"/>
          <w:sz w:val="24"/>
          <w:szCs w:val="24"/>
          <w:lang w:val="hr-HR"/>
        </w:rPr>
      </w:pPr>
    </w:p>
    <w:p w:rsidRDefault="009C59D0" w:rsidP="0037715F" w:rsidR="009C59D0">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Imajući u vidu gore navedeno,  sudac je u skladu s  odredbom čl. 293.  st. 1. Stečajnog zakona, riješio kao u izreci ovog rješenja.</w:t>
      </w:r>
    </w:p>
    <w:p w:rsidRDefault="009C59D0" w:rsidP="0037715F" w:rsidR="009C59D0">
      <w:pPr>
        <w:spacing w:after="0"/>
        <w:ind w:firstLine="708"/>
        <w:jc w:val="both"/>
        <w:rPr>
          <w:rFonts w:cs="Times New Roman" w:hAnsi="Times New Roman" w:ascii="Times New Roman"/>
          <w:color w:val="000000"/>
          <w:sz w:val="24"/>
          <w:szCs w:val="24"/>
          <w:lang w:val="hr-HR"/>
        </w:rPr>
      </w:pPr>
    </w:p>
    <w:p w:rsidRDefault="009C59D0" w:rsidP="0037715F" w:rsidR="009C59D0">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Nakon pravomoćnosti ovog rješenja  stečajni dužnik će biti brisan iz sudskog registra Trgovačkog suda u Zagrebu.</w:t>
      </w:r>
    </w:p>
    <w:p w:rsidRDefault="009C59D0" w:rsidP="0037715F" w:rsidR="009C59D0">
      <w:pPr>
        <w:spacing w:after="0"/>
        <w:jc w:val="both"/>
        <w:rPr>
          <w:rFonts w:cs="Times New Roman" w:hAnsi="Times New Roman" w:ascii="Times New Roman"/>
          <w:sz w:val="24"/>
          <w:szCs w:val="24"/>
          <w:lang w:val="hr-HR"/>
        </w:rPr>
      </w:pPr>
    </w:p>
    <w:p w:rsidRDefault="009C59D0" w:rsidP="0037715F" w:rsidR="009C59D0">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U Bjelovaru  13. ožujka  2019.</w:t>
      </w:r>
    </w:p>
    <w:p w:rsidRDefault="009C59D0" w:rsidP="0037715F" w:rsidR="009C59D0">
      <w:pPr>
        <w:spacing w:after="0"/>
        <w:jc w:val="both"/>
        <w:rPr>
          <w:rFonts w:cs="Times New Roman" w:hAnsi="Times New Roman" w:ascii="Times New Roman"/>
          <w:sz w:val="24"/>
          <w:szCs w:val="24"/>
          <w:lang w:val="hr-HR"/>
        </w:rPr>
      </w:pPr>
    </w:p>
    <w:p w:rsidRDefault="009C59D0" w:rsidP="0037715F" w:rsidR="009C59D0">
      <w:pPr>
        <w:spacing w:after="0"/>
        <w:ind w:firstLine="708" w:left="354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ab/>
        <w:t xml:space="preserve">         S u d a c</w:t>
      </w:r>
    </w:p>
    <w:p w:rsidRDefault="009C59D0" w:rsidP="0037715F" w:rsidR="009C59D0">
      <w:pPr>
        <w:pStyle w:val="Bezproreda"/>
        <w:jc w:val="both"/>
      </w:pPr>
      <w:r>
        <w:t xml:space="preserve">                                                                                      Branka Pleskalt  v.r.</w:t>
      </w:r>
    </w:p>
    <w:p w:rsidRDefault="009C59D0" w:rsidP="0037715F" w:rsidR="009C59D0">
      <w:pPr>
        <w:pStyle w:val="Bezproreda"/>
        <w:jc w:val="both"/>
      </w:pPr>
    </w:p>
    <w:p w:rsidRDefault="009C59D0" w:rsidP="0037715F" w:rsidR="009C59D0">
      <w:pPr>
        <w:pStyle w:val="Bezproreda"/>
        <w:jc w:val="both"/>
      </w:pPr>
      <w:r>
        <w:tab/>
      </w:r>
      <w:r>
        <w:tab/>
      </w:r>
      <w:r>
        <w:tab/>
      </w:r>
      <w:r>
        <w:tab/>
      </w:r>
      <w:r>
        <w:tab/>
      </w:r>
      <w:r>
        <w:tab/>
        <w:t>Za točnost otpravka-ovlašteni službenik</w:t>
      </w:r>
    </w:p>
    <w:p w:rsidRDefault="009C59D0" w:rsidP="0037715F" w:rsidR="009C59D0">
      <w:pPr>
        <w:pStyle w:val="Bezproreda"/>
        <w:jc w:val="both"/>
      </w:pPr>
      <w:r>
        <w:tab/>
      </w:r>
      <w:r>
        <w:tab/>
      </w:r>
      <w:r>
        <w:tab/>
      </w:r>
      <w:r>
        <w:tab/>
      </w:r>
      <w:r>
        <w:tab/>
      </w:r>
      <w:r>
        <w:tab/>
      </w:r>
      <w:r>
        <w:tab/>
        <w:t xml:space="preserve">       Vesna Dragišić</w:t>
      </w:r>
    </w:p>
    <w:p w:rsidRDefault="009C59D0" w:rsidP="0037715F" w:rsidR="009C59D0">
      <w:pPr>
        <w:spacing w:after="0"/>
        <w:jc w:val="both"/>
        <w:rPr>
          <w:rFonts w:cs="Times New Roman" w:hAnsi="Times New Roman" w:ascii="Times New Roman"/>
          <w:sz w:val="24"/>
          <w:szCs w:val="24"/>
          <w:lang w:val="hr-HR"/>
        </w:rPr>
      </w:pPr>
    </w:p>
    <w:p w:rsidRDefault="009C59D0" w:rsidP="0037715F" w:rsidR="009C59D0">
      <w:pPr>
        <w:spacing w:after="0"/>
        <w:jc w:val="both"/>
        <w:rPr>
          <w:rFonts w:cs="Times New Roman" w:hAnsi="Times New Roman" w:ascii="Times New Roman"/>
          <w:sz w:val="24"/>
          <w:szCs w:val="24"/>
          <w:lang w:val="hr-HR"/>
        </w:rPr>
      </w:pPr>
    </w:p>
    <w:p w:rsidRDefault="009C59D0" w:rsidP="0037715F" w:rsidR="009C59D0">
      <w:pPr>
        <w:spacing w:after="0"/>
        <w:ind w:firstLine="708"/>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Pouka o pravnom lijeku: protiv ovog rješenja može se podnijeti žalba u roku od 8 dana od dostave rješenja, na Visoki trgovački sud RH u Zagrebu, a putem ovog suda (čl. 19. st. 1. i 2. SZ). Dostava se smatra obavljenom istekom osmog dana od dana objave ovog rješenja na e-oglasnoj ploči suda (čl. 12. st. 1. SZ).Žalba se podnosi u tri primjerka.</w:t>
      </w:r>
    </w:p>
    <w:p w:rsidRDefault="009C59D0" w:rsidP="0037715F" w:rsidR="009C59D0" w:rsidRPr="00B76F3C">
      <w:pPr>
        <w:pStyle w:val="Bezproreda"/>
        <w:jc w:val="both"/>
      </w:pPr>
    </w:p>
    <w:p w:rsidRDefault="00AE649C" w:rsidP="0037715F" w:rsidR="00AE649C" w:rsidRPr="00B76F3C">
      <w:pPr>
        <w:pStyle w:val="NormaleSPIS"/>
      </w:pPr>
    </w:p>
    <w:sectPr w:rsidSect="0037715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4BAC" w:rsidP="00537B78" w:rsidR="00F94BAC">
      <w:r>
        <w:separator/>
      </w:r>
    </w:p>
  </w:endnote>
  <w:endnote w:id="0" w:type="continuationSeparator">
    <w:p w:rsidRDefault="00F94BAC" w:rsidP="00537B78" w:rsidR="00F94B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4BAC" w:rsidP="00537B78" w:rsidR="00F94BAC">
      <w:r>
        <w:separator/>
      </w:r>
    </w:p>
  </w:footnote>
  <w:footnote w:id="0" w:type="continuationSeparator">
    <w:p w:rsidRDefault="00F94BAC" w:rsidP="00537B78" w:rsidR="00F94B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1930458"/>
      <w:docPartObj>
        <w:docPartGallery w:val="Page Numbers (Top of Page)"/>
        <w:docPartUnique/>
      </w:docPartObj>
    </w:sdtPr>
    <w:sdtEndPr/>
    <w:sdtContent>
      <w:p w:rsidRDefault="0037715F" w:rsidR="0037715F">
        <w:pPr>
          <w:pStyle w:val="Zaglavlje"/>
          <w:jc w:val="center"/>
        </w:pPr>
        <w:r>
          <w:fldChar w:fldCharType="begin"/>
        </w:r>
        <w:r>
          <w:instrText>PAGE   \* MERGEFORMAT</w:instrText>
        </w:r>
        <w:r>
          <w:fldChar w:fldCharType="separate"/>
        </w:r>
        <w:r w:rsidR="00A730F7">
          <w:t>2</w:t>
        </w:r>
        <w:r>
          <w:fldChar w:fldCharType="end"/>
        </w:r>
      </w:p>
    </w:sdtContent>
  </w:sdt>
  <w:p w:rsidRDefault="0037715F" w:rsidR="008333A9">
    <w:pPr>
      <w:pStyle w:val="Zaglavlje"/>
    </w:pPr>
    <w:r>
      <w:t>Poslovni broj: 1 St-698/2018-13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15F"/>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67EC3"/>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59D0"/>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0F7"/>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4BAC"/>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C59D0"/>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lang w:val="hr-HR"/>
    </w:rPr>
  </w:style>
  <w:style w:styleId="Naslov2" w:type="paragraph">
    <w:name w:val="heading 2"/>
    <w:basedOn w:val="Normal"/>
    <w:next w:val="Normal"/>
    <w:link w:val="Naslov2Char"/>
    <w:uiPriority w:val="9"/>
    <w:unhideWhenUsed/>
    <w:rsid w:val="004F27AE"/>
    <w:pPr>
      <w:keepNext/>
      <w:spacing w:lineRule="auto" w:line="240" w:after="240"/>
      <w:outlineLvl w:val="1"/>
    </w:pPr>
    <w:rPr>
      <w:rFonts w:hAnsi="Times New Roman" w:ascii="Times New Roman"/>
      <w:b/>
      <w:sz w:val="28"/>
      <w:szCs w:val="20"/>
      <w:lang w:val="hr-HR"/>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lang w:val="hr-HR"/>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sz w:val="24"/>
      <w:szCs w:val="24"/>
      <w:lang w:val="hr-HR"/>
    </w:rPr>
  </w:style>
  <w:style w:styleId="Naslov5" w:type="paragraph">
    <w:name w:val="heading 5"/>
    <w:basedOn w:val="Normal"/>
    <w:next w:val="Normal"/>
    <w:link w:val="Naslov5Char"/>
    <w:rsid w:val="00EB0D4C"/>
    <w:pPr>
      <w:spacing w:lineRule="auto" w:line="240" w:after="0" w:before="120"/>
      <w:ind w:hanging="432" w:left="1008"/>
      <w:outlineLvl w:val="4"/>
    </w:pPr>
    <w:rPr>
      <w:rFonts w:eastAsia="Times New Roman" w:hAnsi="Arial" w:ascii="Arial"/>
      <w:noProof/>
      <w:kern w:val="22"/>
      <w:szCs w:val="24"/>
      <w:lang w:eastAsia="hr-HR" w:val="hr-HR"/>
    </w:rPr>
  </w:style>
  <w:style w:styleId="Naslov6" w:type="paragraph">
    <w:name w:val="heading 6"/>
    <w:basedOn w:val="Normal"/>
    <w:next w:val="Normal"/>
    <w:link w:val="Naslov6Char"/>
    <w:rsid w:val="00EB0D4C"/>
    <w:pPr>
      <w:spacing w:lineRule="auto" w:line="240" w:after="0" w:before="120"/>
      <w:ind w:hanging="432" w:left="1152"/>
      <w:outlineLvl w:val="5"/>
    </w:pPr>
    <w:rPr>
      <w:rFonts w:eastAsia="Times New Roman" w:hAnsi="Arial" w:ascii="Arial"/>
      <w:i/>
      <w:noProof/>
      <w:kern w:val="22"/>
      <w:szCs w:val="24"/>
      <w:lang w:eastAsia="hr-HR" w:val="hr-HR"/>
    </w:rPr>
  </w:style>
  <w:style w:styleId="Naslov7" w:type="paragraph">
    <w:name w:val="heading 7"/>
    <w:basedOn w:val="Normal"/>
    <w:next w:val="Normal"/>
    <w:link w:val="Naslov7Char"/>
    <w:rsid w:val="00EB0D4C"/>
    <w:pPr>
      <w:spacing w:lineRule="auto" w:line="240" w:after="0" w:before="120"/>
      <w:ind w:hanging="288" w:left="1296"/>
      <w:outlineLvl w:val="6"/>
    </w:pPr>
    <w:rPr>
      <w:rFonts w:eastAsia="Times New Roman" w:hAnsi="Arial" w:ascii="Arial"/>
      <w:noProof/>
      <w:kern w:val="20"/>
      <w:szCs w:val="24"/>
      <w:lang w:eastAsia="hr-HR" w:val="hr-HR"/>
    </w:rPr>
  </w:style>
  <w:style w:styleId="Naslov8" w:type="paragraph">
    <w:name w:val="heading 8"/>
    <w:basedOn w:val="Normal"/>
    <w:next w:val="Normal"/>
    <w:link w:val="Naslov8Char"/>
    <w:rsid w:val="00EB0D4C"/>
    <w:pPr>
      <w:spacing w:lineRule="auto" w:line="240" w:after="0" w:before="120"/>
      <w:ind w:hanging="432" w:left="1440"/>
      <w:outlineLvl w:val="7"/>
    </w:pPr>
    <w:rPr>
      <w:rFonts w:eastAsia="Times New Roman" w:hAnsi="Arial" w:ascii="Arial"/>
      <w:i/>
      <w:noProof/>
      <w:kern w:val="20"/>
      <w:szCs w:val="24"/>
      <w:lang w:eastAsia="hr-HR" w:val="hr-HR"/>
    </w:rPr>
  </w:style>
  <w:style w:styleId="Naslov9" w:type="paragraph">
    <w:name w:val="heading 9"/>
    <w:basedOn w:val="Normal"/>
    <w:next w:val="Normal"/>
    <w:link w:val="Naslov9Char"/>
    <w:rsid w:val="00EB0D4C"/>
    <w:pPr>
      <w:spacing w:lineRule="auto" w:line="240" w:after="0" w:before="120"/>
      <w:ind w:hanging="144" w:left="1584"/>
      <w:outlineLvl w:val="8"/>
    </w:pPr>
    <w:rPr>
      <w:rFonts w:eastAsia="Times New Roman" w:hAnsi="Arial" w:ascii="Arial"/>
      <w:i/>
      <w:noProof/>
      <w:kern w:val="18"/>
      <w:sz w:val="18"/>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hAnsi="Times New Roman" w:ascii="Times New Roman"/>
      <w:caps/>
      <w:spacing w:val="100"/>
      <w:sz w:val="24"/>
      <w:szCs w:val="24"/>
      <w:lang w:val="hr-HR"/>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hAnsi="Times New Roman" w:ascii="Times New Roman"/>
      <w:spacing w:val="100"/>
      <w:sz w:val="24"/>
      <w:szCs w:val="24"/>
      <w:lang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lang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hAnsi="Times New Roman" w:ascii="Times New Roman"/>
      <w:noProof/>
      <w:sz w:val="24"/>
      <w:szCs w:val="24"/>
      <w:lang w:val="hr-HR"/>
    </w:rPr>
  </w:style>
  <w:style w:styleId="Tijeloteksta3" w:type="paragraph">
    <w:name w:val="Body Text 3"/>
    <w:basedOn w:val="Normal"/>
    <w:link w:val="Tijeloteksta3Char"/>
    <w:uiPriority w:val="99"/>
    <w:rsid w:val="00551CB3"/>
    <w:pPr>
      <w:numPr>
        <w:numId w:val="4"/>
      </w:numPr>
      <w:spacing w:lineRule="auto" w:line="240" w:after="120"/>
    </w:pPr>
    <w:rPr>
      <w:rFonts w:hAnsi="Times New Roman" w:ascii="Times New Roman"/>
      <w:sz w:val="16"/>
      <w:szCs w:val="16"/>
      <w:lang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hAnsi="Times New Roman" w:ascii="Times New Roman"/>
      <w:sz w:val="24"/>
      <w:szCs w:val="24"/>
      <w:lang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hAnsi="Times New Roman" w:ascii="Times New Roman"/>
      <w:noProof/>
      <w:sz w:val="20"/>
      <w:szCs w:val="24"/>
      <w:lang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lang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hAnsi="Times New Roman" w:ascii="Times New Roman"/>
      <w:b/>
      <w:caps/>
      <w:sz w:val="24"/>
      <w:szCs w:val="24"/>
      <w:lang w:val="hr-HR"/>
    </w:rPr>
  </w:style>
  <w:style w:styleId="Podnoje" w:type="paragraph">
    <w:name w:val="footer"/>
    <w:basedOn w:val="Normal"/>
    <w:link w:val="PodnojeChar"/>
    <w:uiPriority w:val="99"/>
    <w:unhideWhenUsed/>
    <w:rsid w:val="00EB0D4C"/>
    <w:pPr>
      <w:tabs>
        <w:tab w:pos="9072" w:val="right"/>
      </w:tabs>
      <w:spacing w:lineRule="auto" w:line="240" w:after="0"/>
      <w:jc w:val="right"/>
    </w:pPr>
    <w:rPr>
      <w:rFonts w:hAnsi="Times New Roman" w:ascii="Times New Roman"/>
      <w:noProof/>
      <w:sz w:val="24"/>
      <w:szCs w:val="24"/>
      <w:lang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eastAsia="Times New Roman" w:hAnsi="Times New Roman" w:ascii="Times New Roman"/>
      <w:sz w:val="24"/>
      <w:szCs w:val="24"/>
      <w:lang w:eastAsia="hr-HR"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eastAsia="Times New Roman" w:hAnsi="Times New Roman" w:ascii="Times New Roman"/>
      <w:sz w:val="24"/>
      <w:szCs w:val="24"/>
      <w:lang w:eastAsia="hr-HR"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hAnsi="Times New Roman" w:ascii="Times New Roman"/>
      <w:noProof/>
      <w:sz w:val="16"/>
      <w:szCs w:val="16"/>
      <w:lang w:val="hr-HR"/>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hAnsi="Times New Roman" w:ascii="Times New Roman"/>
      <w:noProof/>
      <w:sz w:val="24"/>
      <w:szCs w:val="24"/>
      <w:lang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hAnsi="Times New Roman" w:ascii="Times New Roman"/>
      <w:b/>
      <w:bCs/>
      <w:i/>
      <w:iCs/>
      <w:color w:themeColor="accent1" w:val="4F81BD"/>
      <w:sz w:val="24"/>
      <w:szCs w:val="24"/>
      <w:lang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eastAsia="Times New Roman" w:hAnsi="Times New Roman" w:ascii="Times New Roman"/>
      <w:sz w:val="24"/>
      <w:szCs w:val="24"/>
      <w:lang w:eastAsia="hr-HR"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hAnsi="Times New Roman" w:ascii="Times New Roman"/>
      <w:sz w:val="24"/>
      <w:szCs w:val="24"/>
      <w:lang w:val="hr-HR"/>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hAnsi="Times New Roman" w:ascii="Times New Roman"/>
      <w:b/>
      <w:caps/>
      <w:spacing w:val="100"/>
      <w:sz w:val="24"/>
      <w:szCs w:val="24"/>
      <w:lang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hAnsi="Times New Roman" w:ascii="Times New Roman"/>
      <w:sz w:val="24"/>
      <w:szCs w:val="24"/>
      <w:lang w:val="hr-HR"/>
    </w:rPr>
  </w:style>
  <w:style w:customStyle="true" w:styleId="Normal-NoSpace" w:type="paragraph">
    <w:name w:val="Normal-No Space"/>
    <w:basedOn w:val="Normal"/>
    <w:rsid w:val="00EB0D4C"/>
    <w:pPr>
      <w:spacing w:lineRule="auto" w:line="240" w:after="0"/>
    </w:pPr>
    <w:rPr>
      <w:rFonts w:eastAsia="Times New Roman" w:hAnsi="Times New Roman" w:ascii="Times New Roman"/>
      <w:sz w:val="24"/>
      <w:szCs w:val="24"/>
      <w:lang w:eastAsia="hr-HR"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eastAsia="Times New Roman" w:hAnsi="Times New Roman" w:ascii="Times New Roman"/>
      <w:sz w:val="24"/>
      <w:szCs w:val="24"/>
      <w:lang w:eastAsia="hr-HR"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eastAsia="Times New Roman" w:hAnsi="Times New Roman" w:ascii="Times New Roman"/>
      <w:sz w:val="24"/>
      <w:szCs w:val="24"/>
      <w:lang w:eastAsia="hr-HR"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eastAsia="Times New Roman" w:hAnsi="Times New Roman" w:ascii="Times New Roman"/>
      <w:sz w:val="24"/>
      <w:szCs w:val="24"/>
      <w:lang w:eastAsia="hr-HR"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eastAsia="Times New Roman" w:hAnsi="Times New Roman" w:ascii="Times New Roman"/>
      <w:sz w:val="24"/>
      <w:szCs w:val="24"/>
      <w:lang w:eastAsia="hr-HR"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eastAsia="Times New Roman" w:hAnsi="Times New Roman" w:ascii="Times New Roman"/>
      <w:sz w:val="24"/>
      <w:szCs w:val="24"/>
      <w:lang w:eastAsia="hr-HR"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eastAsia="Times New Roman" w:hAnsi="Times New Roman" w:ascii="Times New Roman"/>
      <w:sz w:val="24"/>
      <w:szCs w:val="24"/>
      <w:lang w:eastAsia="hr-HR"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hAnsi="Times New Roman" w:ascii="Times New Roman"/>
      <w:noProof/>
      <w:sz w:val="24"/>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hAnsi="Times New Roman" w:ascii="Times New Roman"/>
      <w:i/>
      <w:iCs/>
      <w:color w:themeColor="text1" w:val="000000"/>
      <w:sz w:val="24"/>
      <w:szCs w:val="24"/>
      <w:lang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sz w:val="18"/>
      <w:szCs w:val="18"/>
      <w:lang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hAnsi="Times New Roman" w:ascii="Times New Roman"/>
      <w:noProof/>
      <w:sz w:val="24"/>
      <w:szCs w:val="24"/>
      <w:lang w:val="hr-HR"/>
    </w:rPr>
  </w:style>
  <w:style w:customStyle="true" w:styleId="SudNaziv" w:type="paragraph">
    <w:name w:val="Sud_Naziv"/>
    <w:basedOn w:val="Normal"/>
    <w:rsid w:val="00EB0D4C"/>
    <w:pPr>
      <w:spacing w:lineRule="auto" w:line="240" w:after="0"/>
    </w:pPr>
    <w:rPr>
      <w:rFonts w:hAnsi="Times New Roman" w:ascii="Times New Roman"/>
      <w:b/>
      <w:noProof/>
      <w:sz w:val="24"/>
      <w:szCs w:val="24"/>
      <w:lang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hAnsi="Times New Roman" w:ascii="Times New Roman"/>
      <w:noProof/>
      <w:sz w:val="24"/>
      <w:szCs w:val="24"/>
      <w:lang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hAnsi="Times New Roman" w:ascii="Times New Roman"/>
      <w:noProof/>
      <w:sz w:val="24"/>
      <w:szCs w:val="24"/>
      <w:lang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hAnsi="Times New Roman" w:ascii="Times New Roman"/>
      <w:sz w:val="24"/>
      <w:szCs w:val="24"/>
      <w:lang w:val="hr-HR"/>
    </w:rPr>
  </w:style>
  <w:style w:customStyle="true" w:styleId="Zapisniar" w:type="paragraph">
    <w:name w:val="Zapisničar"/>
    <w:basedOn w:val="Normal"/>
    <w:next w:val="ZapisniarPotpis"/>
    <w:qFormat/>
    <w:rsid w:val="00EB0D4C"/>
    <w:pPr>
      <w:keepNext/>
      <w:spacing w:lineRule="auto" w:line="240" w:after="360" w:before="360"/>
      <w:ind w:left="5387"/>
    </w:pPr>
    <w:rPr>
      <w:rFonts w:hAnsi="Times New Roman" w:ascii="Times New Roman"/>
      <w:noProof/>
      <w:sz w:val="24"/>
      <w:szCs w:val="24"/>
      <w:lang w:val="hr-HR"/>
    </w:rPr>
  </w:style>
  <w:style w:customStyle="true" w:styleId="ZapisniarPotpis" w:type="paragraph">
    <w:name w:val="ZapisničarPotpis"/>
    <w:basedOn w:val="Normal"/>
    <w:next w:val="Normal"/>
    <w:qFormat/>
    <w:rsid w:val="00EB0D4C"/>
    <w:pPr>
      <w:spacing w:lineRule="auto" w:line="240" w:after="120" w:before="360"/>
      <w:ind w:left="5387"/>
    </w:pPr>
    <w:rPr>
      <w:rFonts w:hAnsi="Times New Roman" w:ascii="Times New Roman"/>
      <w:noProof/>
      <w:sz w:val="24"/>
      <w:szCs w:val="24"/>
      <w:lang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hAnsi="Times New Roman" w:ascii="Times New Roman"/>
      <w:sz w:val="24"/>
      <w:szCs w:val="24"/>
      <w:lang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eastAsia="Times New Roman" w:hAnsi="Times New Roman" w:ascii="Times New Roman"/>
      <w:sz w:val="24"/>
      <w:szCs w:val="24"/>
      <w:lang w:eastAsia="hr-HR"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lang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hAnsi="Times New Roman" w:ascii="Times New Roman"/>
      <w:noProof/>
      <w:sz w:val="24"/>
      <w:szCs w:val="24"/>
      <w:lang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lang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hAnsi="Times New Roman" w:ascii="Times New Roman"/>
      <w:sz w:val="24"/>
      <w:szCs w:val="24"/>
      <w:lang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hAnsi="Times New Roman" w:ascii="Times New Roman"/>
      <w:sz w:val="24"/>
      <w:szCs w:val="24"/>
      <w:lang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hAnsi="Times New Roman" w:ascii="Times New Roman"/>
      <w:sz w:val="24"/>
      <w:szCs w:val="24"/>
      <w:lang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hAnsi="Times New Roman" w:ascii="Times New Roman"/>
      <w:sz w:val="24"/>
      <w:szCs w:val="24"/>
      <w:lang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hAnsi="Times New Roman" w:ascii="Times New Roman"/>
      <w:sz w:val="24"/>
      <w:szCs w:val="24"/>
      <w:lang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hAnsi="Times New Roman" w:ascii="Times New Roman"/>
      <w:sz w:val="16"/>
      <w:szCs w:val="16"/>
      <w:lang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hAnsi="Times New Roman" w:ascii="Times New Roman"/>
      <w:b/>
      <w:bCs/>
      <w:color w:themeColor="accent1" w:val="4F81BD"/>
      <w:sz w:val="18"/>
      <w:szCs w:val="18"/>
      <w:lang w:val="hr-HR"/>
    </w:rPr>
  </w:style>
  <w:style w:styleId="Zavretak" w:type="paragraph">
    <w:name w:val="Closing"/>
    <w:basedOn w:val="Normal"/>
    <w:link w:val="ZavretakChar"/>
    <w:uiPriority w:val="99"/>
    <w:semiHidden/>
    <w:unhideWhenUsed/>
    <w:rsid w:val="00551CB3"/>
    <w:pPr>
      <w:spacing w:lineRule="auto" w:line="240" w:after="0"/>
      <w:ind w:left="4252"/>
    </w:pPr>
    <w:rPr>
      <w:rFonts w:hAnsi="Times New Roman" w:ascii="Times New Roman"/>
      <w:sz w:val="24"/>
      <w:szCs w:val="24"/>
      <w:lang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hAnsi="Times New Roman" w:ascii="Times New Roman"/>
      <w:sz w:val="20"/>
      <w:szCs w:val="20"/>
      <w:lang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lang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hAnsi="Times New Roman" w:ascii="Times New Roman"/>
      <w:sz w:val="20"/>
      <w:szCs w:val="20"/>
      <w:lang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lang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hAnsi="Times New Roman" w:ascii="Times New Roman"/>
      <w:sz w:val="20"/>
      <w:szCs w:val="20"/>
      <w:lang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hAnsi="Times New Roman" w:ascii="Times New Roman"/>
      <w:sz w:val="24"/>
      <w:szCs w:val="24"/>
      <w:lang w:val="hr-HR"/>
    </w:rPr>
  </w:style>
  <w:style w:styleId="Indeks2" w:type="paragraph">
    <w:name w:val="index 2"/>
    <w:basedOn w:val="Normal"/>
    <w:next w:val="Normal"/>
    <w:autoRedefine/>
    <w:uiPriority w:val="99"/>
    <w:semiHidden/>
    <w:unhideWhenUsed/>
    <w:rsid w:val="00551CB3"/>
    <w:pPr>
      <w:spacing w:lineRule="auto" w:line="240" w:after="0"/>
      <w:ind w:hanging="240" w:left="480"/>
    </w:pPr>
    <w:rPr>
      <w:rFonts w:hAnsi="Times New Roman" w:ascii="Times New Roman"/>
      <w:sz w:val="24"/>
      <w:szCs w:val="24"/>
      <w:lang w:val="hr-HR"/>
    </w:rPr>
  </w:style>
  <w:style w:styleId="Indeks3" w:type="paragraph">
    <w:name w:val="index 3"/>
    <w:basedOn w:val="Normal"/>
    <w:next w:val="Normal"/>
    <w:autoRedefine/>
    <w:uiPriority w:val="99"/>
    <w:semiHidden/>
    <w:unhideWhenUsed/>
    <w:rsid w:val="00551CB3"/>
    <w:pPr>
      <w:spacing w:lineRule="auto" w:line="240" w:after="0"/>
      <w:ind w:hanging="240" w:left="720"/>
    </w:pPr>
    <w:rPr>
      <w:rFonts w:hAnsi="Times New Roman" w:ascii="Times New Roman"/>
      <w:sz w:val="24"/>
      <w:szCs w:val="24"/>
      <w:lang w:val="hr-HR"/>
    </w:rPr>
  </w:style>
  <w:style w:styleId="Indeks4" w:type="paragraph">
    <w:name w:val="index 4"/>
    <w:basedOn w:val="Normal"/>
    <w:next w:val="Normal"/>
    <w:autoRedefine/>
    <w:uiPriority w:val="99"/>
    <w:semiHidden/>
    <w:unhideWhenUsed/>
    <w:rsid w:val="00551CB3"/>
    <w:pPr>
      <w:spacing w:lineRule="auto" w:line="240" w:after="0"/>
      <w:ind w:hanging="240" w:left="960"/>
    </w:pPr>
    <w:rPr>
      <w:rFonts w:hAnsi="Times New Roman" w:ascii="Times New Roman"/>
      <w:sz w:val="24"/>
      <w:szCs w:val="24"/>
      <w:lang w:val="hr-HR"/>
    </w:rPr>
  </w:style>
  <w:style w:styleId="Indeks5" w:type="paragraph">
    <w:name w:val="index 5"/>
    <w:basedOn w:val="Normal"/>
    <w:next w:val="Normal"/>
    <w:autoRedefine/>
    <w:uiPriority w:val="99"/>
    <w:semiHidden/>
    <w:unhideWhenUsed/>
    <w:rsid w:val="00551CB3"/>
    <w:pPr>
      <w:spacing w:lineRule="auto" w:line="240" w:after="0"/>
      <w:ind w:hanging="240" w:left="1200"/>
    </w:pPr>
    <w:rPr>
      <w:rFonts w:hAnsi="Times New Roman" w:ascii="Times New Roman"/>
      <w:sz w:val="24"/>
      <w:szCs w:val="24"/>
      <w:lang w:val="hr-HR"/>
    </w:rPr>
  </w:style>
  <w:style w:styleId="Indeks6" w:type="paragraph">
    <w:name w:val="index 6"/>
    <w:basedOn w:val="Normal"/>
    <w:next w:val="Normal"/>
    <w:autoRedefine/>
    <w:uiPriority w:val="99"/>
    <w:semiHidden/>
    <w:unhideWhenUsed/>
    <w:rsid w:val="00551CB3"/>
    <w:pPr>
      <w:spacing w:lineRule="auto" w:line="240" w:after="0"/>
      <w:ind w:hanging="240" w:left="1440"/>
    </w:pPr>
    <w:rPr>
      <w:rFonts w:hAnsi="Times New Roman" w:ascii="Times New Roman"/>
      <w:sz w:val="24"/>
      <w:szCs w:val="24"/>
      <w:lang w:val="hr-HR"/>
    </w:rPr>
  </w:style>
  <w:style w:styleId="Indeks7" w:type="paragraph">
    <w:name w:val="index 7"/>
    <w:basedOn w:val="Normal"/>
    <w:next w:val="Normal"/>
    <w:autoRedefine/>
    <w:uiPriority w:val="99"/>
    <w:semiHidden/>
    <w:unhideWhenUsed/>
    <w:rsid w:val="00551CB3"/>
    <w:pPr>
      <w:spacing w:lineRule="auto" w:line="240" w:after="0"/>
      <w:ind w:hanging="240" w:left="1680"/>
    </w:pPr>
    <w:rPr>
      <w:rFonts w:hAnsi="Times New Roman" w:ascii="Times New Roman"/>
      <w:sz w:val="24"/>
      <w:szCs w:val="24"/>
      <w:lang w:val="hr-HR"/>
    </w:rPr>
  </w:style>
  <w:style w:styleId="Indeks8" w:type="paragraph">
    <w:name w:val="index 8"/>
    <w:basedOn w:val="Normal"/>
    <w:next w:val="Normal"/>
    <w:autoRedefine/>
    <w:uiPriority w:val="99"/>
    <w:semiHidden/>
    <w:unhideWhenUsed/>
    <w:rsid w:val="00551CB3"/>
    <w:pPr>
      <w:spacing w:lineRule="auto" w:line="240" w:after="0"/>
      <w:ind w:hanging="240" w:left="1920"/>
    </w:pPr>
    <w:rPr>
      <w:rFonts w:hAnsi="Times New Roman" w:ascii="Times New Roman"/>
      <w:sz w:val="24"/>
      <w:szCs w:val="24"/>
      <w:lang w:val="hr-HR"/>
    </w:rPr>
  </w:style>
  <w:style w:styleId="Indeks9" w:type="paragraph">
    <w:name w:val="index 9"/>
    <w:basedOn w:val="Normal"/>
    <w:next w:val="Normal"/>
    <w:autoRedefine/>
    <w:uiPriority w:val="99"/>
    <w:semiHidden/>
    <w:unhideWhenUsed/>
    <w:rsid w:val="00551CB3"/>
    <w:pPr>
      <w:spacing w:lineRule="auto" w:line="240" w:after="0"/>
      <w:ind w:hanging="240" w:left="2160"/>
    </w:pPr>
    <w:rPr>
      <w:rFonts w:hAnsi="Times New Roman" w:ascii="Times New Roman"/>
      <w:sz w:val="24"/>
      <w:szCs w:val="24"/>
      <w:lang w:val="hr-HR"/>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lang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hAnsi="Times New Roman" w:ascii="Times New Roman"/>
      <w:sz w:val="24"/>
      <w:szCs w:val="24"/>
      <w:lang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hAnsi="Times New Roman" w:ascii="Times New Roman"/>
      <w:sz w:val="24"/>
      <w:szCs w:val="24"/>
      <w:lang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hAnsi="Times New Roman" w:ascii="Times New Roman"/>
      <w:sz w:val="24"/>
      <w:szCs w:val="24"/>
      <w:lang w:val="hr-HR"/>
    </w:rPr>
  </w:style>
  <w:style w:styleId="Tablicaslika" w:type="paragraph">
    <w:name w:val="table of figures"/>
    <w:basedOn w:val="Normal"/>
    <w:next w:val="Normal"/>
    <w:uiPriority w:val="99"/>
    <w:semiHidden/>
    <w:unhideWhenUsed/>
    <w:rsid w:val="00551CB3"/>
    <w:pPr>
      <w:spacing w:lineRule="auto" w:line="240" w:after="0"/>
    </w:pPr>
    <w:rPr>
      <w:rFonts w:hAnsi="Times New Roman" w:ascii="Times New Roman"/>
      <w:sz w:val="24"/>
      <w:szCs w:val="24"/>
      <w:lang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lang w:val="hr-HR"/>
    </w:rPr>
  </w:style>
  <w:style w:styleId="Sadraj1" w:type="paragraph">
    <w:name w:val="toc 1"/>
    <w:basedOn w:val="Normal"/>
    <w:next w:val="Normal"/>
    <w:autoRedefine/>
    <w:uiPriority w:val="99"/>
    <w:semiHidden/>
    <w:unhideWhenUsed/>
    <w:rsid w:val="00551CB3"/>
    <w:pPr>
      <w:spacing w:lineRule="auto" w:line="240" w:after="100"/>
    </w:pPr>
    <w:rPr>
      <w:rFonts w:hAnsi="Times New Roman" w:ascii="Times New Roman"/>
      <w:sz w:val="24"/>
      <w:szCs w:val="24"/>
      <w:lang w:val="hr-HR"/>
    </w:rPr>
  </w:style>
  <w:style w:styleId="Sadraj2" w:type="paragraph">
    <w:name w:val="toc 2"/>
    <w:basedOn w:val="Normal"/>
    <w:next w:val="Normal"/>
    <w:autoRedefine/>
    <w:uiPriority w:val="99"/>
    <w:semiHidden/>
    <w:unhideWhenUsed/>
    <w:rsid w:val="00551CB3"/>
    <w:pPr>
      <w:spacing w:lineRule="auto" w:line="240" w:after="100"/>
      <w:ind w:left="240"/>
    </w:pPr>
    <w:rPr>
      <w:rFonts w:hAnsi="Times New Roman" w:ascii="Times New Roman"/>
      <w:sz w:val="24"/>
      <w:szCs w:val="24"/>
      <w:lang w:val="hr-HR"/>
    </w:rPr>
  </w:style>
  <w:style w:styleId="Sadraj3" w:type="paragraph">
    <w:name w:val="toc 3"/>
    <w:basedOn w:val="Normal"/>
    <w:next w:val="Normal"/>
    <w:autoRedefine/>
    <w:uiPriority w:val="99"/>
    <w:semiHidden/>
    <w:unhideWhenUsed/>
    <w:rsid w:val="00551CB3"/>
    <w:pPr>
      <w:spacing w:lineRule="auto" w:line="240" w:after="100"/>
      <w:ind w:left="480"/>
    </w:pPr>
    <w:rPr>
      <w:rFonts w:hAnsi="Times New Roman" w:ascii="Times New Roman"/>
      <w:sz w:val="24"/>
      <w:szCs w:val="24"/>
      <w:lang w:val="hr-HR"/>
    </w:rPr>
  </w:style>
  <w:style w:styleId="Sadraj4" w:type="paragraph">
    <w:name w:val="toc 4"/>
    <w:basedOn w:val="Normal"/>
    <w:next w:val="Normal"/>
    <w:autoRedefine/>
    <w:uiPriority w:val="99"/>
    <w:semiHidden/>
    <w:unhideWhenUsed/>
    <w:rsid w:val="00551CB3"/>
    <w:pPr>
      <w:spacing w:lineRule="auto" w:line="240" w:after="100"/>
      <w:ind w:left="720"/>
    </w:pPr>
    <w:rPr>
      <w:rFonts w:hAnsi="Times New Roman" w:ascii="Times New Roman"/>
      <w:sz w:val="24"/>
      <w:szCs w:val="24"/>
      <w:lang w:val="hr-HR"/>
    </w:rPr>
  </w:style>
  <w:style w:styleId="Sadraj5" w:type="paragraph">
    <w:name w:val="toc 5"/>
    <w:basedOn w:val="Normal"/>
    <w:next w:val="Normal"/>
    <w:autoRedefine/>
    <w:uiPriority w:val="99"/>
    <w:semiHidden/>
    <w:unhideWhenUsed/>
    <w:rsid w:val="00551CB3"/>
    <w:pPr>
      <w:spacing w:lineRule="auto" w:line="240" w:after="100"/>
      <w:ind w:left="960"/>
    </w:pPr>
    <w:rPr>
      <w:rFonts w:hAnsi="Times New Roman" w:ascii="Times New Roman"/>
      <w:sz w:val="24"/>
      <w:szCs w:val="24"/>
      <w:lang w:val="hr-HR"/>
    </w:rPr>
  </w:style>
  <w:style w:styleId="Sadraj6" w:type="paragraph">
    <w:name w:val="toc 6"/>
    <w:basedOn w:val="Normal"/>
    <w:next w:val="Normal"/>
    <w:autoRedefine/>
    <w:uiPriority w:val="99"/>
    <w:semiHidden/>
    <w:unhideWhenUsed/>
    <w:rsid w:val="00551CB3"/>
    <w:pPr>
      <w:spacing w:lineRule="auto" w:line="240" w:after="100"/>
      <w:ind w:left="1200"/>
    </w:pPr>
    <w:rPr>
      <w:rFonts w:hAnsi="Times New Roman" w:ascii="Times New Roman"/>
      <w:sz w:val="24"/>
      <w:szCs w:val="24"/>
      <w:lang w:val="hr-HR"/>
    </w:rPr>
  </w:style>
  <w:style w:styleId="Sadraj7" w:type="paragraph">
    <w:name w:val="toc 7"/>
    <w:basedOn w:val="Normal"/>
    <w:next w:val="Normal"/>
    <w:autoRedefine/>
    <w:uiPriority w:val="99"/>
    <w:semiHidden/>
    <w:unhideWhenUsed/>
    <w:rsid w:val="00551CB3"/>
    <w:pPr>
      <w:spacing w:lineRule="auto" w:line="240" w:after="100"/>
      <w:ind w:left="1440"/>
    </w:pPr>
    <w:rPr>
      <w:rFonts w:hAnsi="Times New Roman" w:ascii="Times New Roman"/>
      <w:sz w:val="24"/>
      <w:szCs w:val="24"/>
      <w:lang w:val="hr-HR"/>
    </w:rPr>
  </w:style>
  <w:style w:styleId="Sadraj8" w:type="paragraph">
    <w:name w:val="toc 8"/>
    <w:basedOn w:val="Normal"/>
    <w:next w:val="Normal"/>
    <w:autoRedefine/>
    <w:uiPriority w:val="99"/>
    <w:semiHidden/>
    <w:unhideWhenUsed/>
    <w:rsid w:val="00551CB3"/>
    <w:pPr>
      <w:spacing w:lineRule="auto" w:line="240" w:after="100"/>
      <w:ind w:left="1680"/>
    </w:pPr>
    <w:rPr>
      <w:rFonts w:hAnsi="Times New Roman" w:ascii="Times New Roman"/>
      <w:sz w:val="24"/>
      <w:szCs w:val="24"/>
      <w:lang w:val="hr-HR"/>
    </w:rPr>
  </w:style>
  <w:style w:styleId="Sadraj9" w:type="paragraph">
    <w:name w:val="toc 9"/>
    <w:basedOn w:val="Normal"/>
    <w:next w:val="Normal"/>
    <w:autoRedefine/>
    <w:uiPriority w:val="99"/>
    <w:semiHidden/>
    <w:unhideWhenUsed/>
    <w:rsid w:val="00551CB3"/>
    <w:pPr>
      <w:spacing w:lineRule="auto" w:line="240" w:after="100"/>
      <w:ind w:left="1920"/>
    </w:pPr>
    <w:rPr>
      <w:rFonts w:hAnsi="Times New Roman" w:ascii="Times New Roman"/>
      <w:sz w:val="24"/>
      <w:szCs w:val="24"/>
      <w:lang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hAnsi="Times New Roman" w:ascii="Times New Roman"/>
      <w:sz w:val="20"/>
      <w:szCs w:val="24"/>
      <w:lang w:val="hr-HR"/>
    </w:rPr>
  </w:style>
  <w:style w:customStyle="true" w:styleId="IzvornikNacrt" w:type="paragraph">
    <w:name w:val="Izvornik_Nacrt"/>
    <w:basedOn w:val="Normal"/>
    <w:link w:val="IzvornikNacrtChar"/>
    <w:qFormat/>
    <w:rsid w:val="00EB0D4C"/>
    <w:pPr>
      <w:keepNext/>
      <w:spacing w:lineRule="auto" w:line="240" w:after="0"/>
    </w:pPr>
    <w:rPr>
      <w:rFonts w:cs="Times New Roman" w:eastAsia="Calibri" w:hAnsi="Times New Roman" w:ascii="Times New Roman"/>
      <w:noProof/>
      <w:color w:val="000000"/>
      <w:sz w:val="24"/>
      <w:szCs w:val="24"/>
      <w:lang w:eastAsia="hr-HR"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cs="Times New Roman" w:eastAsia="Calibri" w:hAnsi="Times New Roman" w:ascii="Times New Roman"/>
      <w:noProof/>
      <w:color w:val="000000"/>
      <w:sz w:val="24"/>
      <w:szCs w:val="24"/>
      <w:lang w:eastAsia="hr-HR"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cs="Times New Roman" w:eastAsia="Calibri" w:hAnsi="Times New Roman" w:ascii="Times New Roman"/>
      <w:noProof/>
      <w:color w:val="000000"/>
      <w:sz w:val="24"/>
      <w:szCs w:val="24"/>
      <w:lang w:eastAsia="hr-HR"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hAnsi="Times New Roman" w:ascii="Times New Roman"/>
      <w:noProof/>
      <w:sz w:val="24"/>
      <w:szCs w:val="24"/>
      <w:lang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cs="Times New Roman" w:eastAsia="Calibri" w:hAnsi="Times New Roman" w:ascii="Times New Roman"/>
      <w:color w:val="000000"/>
      <w:sz w:val="24"/>
      <w:szCs w:val="24"/>
      <w:lang w:eastAsia="hr-HR"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cs="Times New Roman" w:eastAsia="Calibri" w:hAnsi="Times New Roman" w:ascii="Times New Roman"/>
      <w:noProof/>
      <w:color w:val="000000"/>
      <w:sz w:val="24"/>
      <w:szCs w:val="24"/>
      <w:lang w:eastAsia="hr-HR"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hAnsi="Times New Roman" w:ascii="Times New Roman"/>
      <w:sz w:val="24"/>
      <w:szCs w:val="24"/>
      <w:lang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hAnsi="Times New Roman" w:ascii="Times New Roman"/>
      <w:sz w:val="24"/>
      <w:szCs w:val="24"/>
      <w:lang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C59D0"/>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lang w:val="hr-HR"/>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hAnsi="Times New Roman"/>
      <w:b/>
      <w:sz w:val="28"/>
      <w:szCs w:val="20"/>
      <w:lang w:val="hr-HR"/>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lang w:val="hr-HR"/>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sz w:val="24"/>
      <w:szCs w:val="24"/>
      <w:lang w:val="hr-HR"/>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eastAsia="Times New Roman" w:hAnsi="Arial"/>
      <w:noProof/>
      <w:kern w:val="22"/>
      <w:szCs w:val="24"/>
      <w:lang w:eastAsia="hr-HR" w:val="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eastAsia="Times New Roman" w:hAnsi="Arial"/>
      <w:i/>
      <w:noProof/>
      <w:kern w:val="22"/>
      <w:szCs w:val="24"/>
      <w:lang w:eastAsia="hr-HR" w:val="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eastAsia="Times New Roman" w:hAnsi="Arial"/>
      <w:noProof/>
      <w:kern w:val="20"/>
      <w:szCs w:val="24"/>
      <w:lang w:eastAsia="hr-HR" w:val="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eastAsia="Times New Roman" w:hAnsi="Arial"/>
      <w:i/>
      <w:noProof/>
      <w:kern w:val="20"/>
      <w:szCs w:val="24"/>
      <w:lang w:eastAsia="hr-HR" w:val="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eastAsia="Times New Roman" w:hAnsi="Arial"/>
      <w:i/>
      <w:noProof/>
      <w:kern w:val="18"/>
      <w:sz w:val="18"/>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hAnsi="Times New Roman"/>
      <w:caps/>
      <w:spacing w:val="100"/>
      <w:sz w:val="24"/>
      <w:szCs w:val="24"/>
      <w:lang w:val="hr-HR"/>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hAnsi="Times New Roman"/>
      <w:spacing w:val="100"/>
      <w:sz w:val="24"/>
      <w:szCs w:val="24"/>
      <w:lang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lang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hAnsi="Times New Roman"/>
      <w:noProof/>
      <w:sz w:val="24"/>
      <w:szCs w:val="24"/>
      <w:lang w:val="hr-HR"/>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hAnsi="Times New Roman"/>
      <w:sz w:val="16"/>
      <w:szCs w:val="16"/>
      <w:lang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hAnsi="Times New Roman"/>
      <w:sz w:val="24"/>
      <w:szCs w:val="24"/>
      <w:lang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hAnsi="Times New Roman"/>
      <w:noProof/>
      <w:sz w:val="20"/>
      <w:szCs w:val="24"/>
      <w:lang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lang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ascii="Times New Roman" w:hAnsi="Times New Roman"/>
      <w:b/>
      <w:caps/>
      <w:sz w:val="24"/>
      <w:szCs w:val="24"/>
      <w:lang w:val="hr-HR"/>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hAnsi="Times New Roman"/>
      <w:noProof/>
      <w:sz w:val="24"/>
      <w:szCs w:val="24"/>
      <w:lang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ascii="Times New Roman" w:eastAsia="Times New Roman" w:hAnsi="Times New Roman"/>
      <w:sz w:val="24"/>
      <w:szCs w:val="24"/>
      <w:lang w:eastAsia="hr-HR"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ascii="Times New Roman" w:eastAsia="Times New Roman" w:hAnsi="Times New Roman"/>
      <w:sz w:val="24"/>
      <w:szCs w:val="24"/>
      <w:lang w:eastAsia="hr-HR"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ascii="Times New Roman" w:hAnsi="Times New Roman"/>
      <w:noProof/>
      <w:sz w:val="16"/>
      <w:szCs w:val="16"/>
      <w:lang w:val="hr-HR"/>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hAnsi="Times New Roman"/>
      <w:noProof/>
      <w:sz w:val="24"/>
      <w:szCs w:val="24"/>
      <w:lang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ascii="Times New Roman" w:hAnsi="Times New Roman"/>
      <w:b/>
      <w:bCs/>
      <w:i/>
      <w:iCs/>
      <w:color w:themeColor="accent1" w:val="4F81BD"/>
      <w:sz w:val="24"/>
      <w:szCs w:val="24"/>
      <w:lang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ascii="Times New Roman" w:eastAsia="Times New Roman" w:hAnsi="Times New Roman"/>
      <w:sz w:val="24"/>
      <w:szCs w:val="24"/>
      <w:lang w:eastAsia="hr-HR"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ascii="Times New Roman" w:hAnsi="Times New Roman"/>
      <w:sz w:val="24"/>
      <w:szCs w:val="24"/>
      <w:lang w:val="hr-HR"/>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hAnsi="Times New Roman"/>
      <w:b/>
      <w:caps/>
      <w:spacing w:val="100"/>
      <w:sz w:val="24"/>
      <w:szCs w:val="24"/>
      <w:lang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ascii="Times New Roman" w:hAnsi="Times New Roman"/>
      <w:sz w:val="24"/>
      <w:szCs w:val="24"/>
      <w:lang w:val="hr-HR"/>
    </w:rPr>
  </w:style>
  <w:style w:customStyle="1" w:styleId="Normal-NoSpace" w:type="paragraph">
    <w:name w:val="Normal-No Space"/>
    <w:basedOn w:val="Normal"/>
    <w:rsid w:val="00EB0D4C"/>
    <w:pPr>
      <w:spacing w:after="0" w:line="240" w:lineRule="auto"/>
    </w:pPr>
    <w:rPr>
      <w:rFonts w:ascii="Times New Roman" w:eastAsia="Times New Roman" w:hAnsi="Times New Roman"/>
      <w:sz w:val="24"/>
      <w:szCs w:val="24"/>
      <w:lang w:eastAsia="hr-HR"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ascii="Times New Roman" w:eastAsia="Times New Roman" w:hAnsi="Times New Roman"/>
      <w:sz w:val="24"/>
      <w:szCs w:val="24"/>
      <w:lang w:eastAsia="hr-HR"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ascii="Times New Roman" w:eastAsia="Times New Roman" w:hAnsi="Times New Roman"/>
      <w:sz w:val="24"/>
      <w:szCs w:val="24"/>
      <w:lang w:eastAsia="hr-HR"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ascii="Times New Roman" w:eastAsia="Times New Roman" w:hAnsi="Times New Roman"/>
      <w:sz w:val="24"/>
      <w:szCs w:val="24"/>
      <w:lang w:eastAsia="hr-HR"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ascii="Times New Roman" w:eastAsia="Times New Roman" w:hAnsi="Times New Roman"/>
      <w:sz w:val="24"/>
      <w:szCs w:val="24"/>
      <w:lang w:eastAsia="hr-HR"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ascii="Times New Roman" w:eastAsia="Times New Roman" w:hAnsi="Times New Roman"/>
      <w:sz w:val="24"/>
      <w:szCs w:val="24"/>
      <w:lang w:eastAsia="hr-HR"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ascii="Times New Roman" w:eastAsia="Times New Roman" w:hAnsi="Times New Roman"/>
      <w:sz w:val="24"/>
      <w:szCs w:val="24"/>
      <w:lang w:eastAsia="hr-HR"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ascii="Times New Roman" w:hAnsi="Times New Roman"/>
      <w:noProof/>
      <w:sz w:val="24"/>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ascii="Times New Roman" w:hAnsi="Times New Roman"/>
      <w:i/>
      <w:iCs/>
      <w:color w:themeColor="text1" w:val="000000"/>
      <w:sz w:val="24"/>
      <w:szCs w:val="24"/>
      <w:lang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sz w:val="18"/>
      <w:szCs w:val="18"/>
      <w:lang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ascii="Times New Roman" w:hAnsi="Times New Roman"/>
      <w:noProof/>
      <w:sz w:val="24"/>
      <w:szCs w:val="24"/>
      <w:lang w:val="hr-HR"/>
    </w:rPr>
  </w:style>
  <w:style w:customStyle="1" w:styleId="SudNaziv" w:type="paragraph">
    <w:name w:val="Sud_Naziv"/>
    <w:basedOn w:val="Normal"/>
    <w:rsid w:val="00EB0D4C"/>
    <w:pPr>
      <w:spacing w:after="0" w:line="240" w:lineRule="auto"/>
    </w:pPr>
    <w:rPr>
      <w:rFonts w:ascii="Times New Roman" w:hAnsi="Times New Roman"/>
      <w:b/>
      <w:noProof/>
      <w:sz w:val="24"/>
      <w:szCs w:val="24"/>
      <w:lang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hAnsi="Times New Roman"/>
      <w:noProof/>
      <w:sz w:val="24"/>
      <w:szCs w:val="24"/>
      <w:lang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hAnsi="Times New Roman"/>
      <w:noProof/>
      <w:sz w:val="24"/>
      <w:szCs w:val="24"/>
      <w:lang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hAnsi="Times New Roman"/>
      <w:sz w:val="24"/>
      <w:szCs w:val="24"/>
      <w:lang w:val="hr-HR"/>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hAnsi="Times New Roman"/>
      <w:noProof/>
      <w:sz w:val="24"/>
      <w:szCs w:val="24"/>
      <w:lang w:val="hr-HR"/>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hAnsi="Times New Roman"/>
      <w:noProof/>
      <w:sz w:val="24"/>
      <w:szCs w:val="24"/>
      <w:lang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hAnsi="Times New Roman"/>
      <w:sz w:val="24"/>
      <w:szCs w:val="24"/>
      <w:lang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eastAsia="Times New Roman" w:hAnsi="Times New Roman"/>
      <w:sz w:val="24"/>
      <w:szCs w:val="24"/>
      <w:lang w:eastAsia="hr-HR"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lang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hAnsi="Times New Roman"/>
      <w:noProof/>
      <w:sz w:val="24"/>
      <w:szCs w:val="24"/>
      <w:lang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lang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hAnsi="Times New Roman"/>
      <w:sz w:val="24"/>
      <w:szCs w:val="24"/>
      <w:lang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ascii="Times New Roman" w:hAnsi="Times New Roman"/>
      <w:sz w:val="24"/>
      <w:szCs w:val="24"/>
      <w:lang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hAnsi="Times New Roman"/>
      <w:sz w:val="24"/>
      <w:szCs w:val="24"/>
      <w:lang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hAnsi="Times New Roman"/>
      <w:sz w:val="24"/>
      <w:szCs w:val="24"/>
      <w:lang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hAnsi="Times New Roman"/>
      <w:sz w:val="24"/>
      <w:szCs w:val="24"/>
      <w:lang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hAnsi="Times New Roman"/>
      <w:sz w:val="16"/>
      <w:szCs w:val="16"/>
      <w:lang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hAnsi="Times New Roman"/>
      <w:b/>
      <w:bCs/>
      <w:color w:themeColor="accent1" w:val="4F81BD"/>
      <w:sz w:val="18"/>
      <w:szCs w:val="18"/>
      <w:lang w:val="hr-HR"/>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hAnsi="Times New Roman"/>
      <w:sz w:val="24"/>
      <w:szCs w:val="24"/>
      <w:lang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hAnsi="Times New Roman"/>
      <w:sz w:val="20"/>
      <w:szCs w:val="20"/>
      <w:lang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lang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hAnsi="Times New Roman"/>
      <w:sz w:val="20"/>
      <w:szCs w:val="20"/>
      <w:lang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lang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hAnsi="Times New Roman"/>
      <w:sz w:val="20"/>
      <w:szCs w:val="20"/>
      <w:lang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hAnsi="Times New Roman"/>
      <w:sz w:val="24"/>
      <w:szCs w:val="24"/>
      <w:lang w:val="hr-HR"/>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hAnsi="Times New Roman"/>
      <w:sz w:val="24"/>
      <w:szCs w:val="24"/>
      <w:lang w:val="hr-HR"/>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hAnsi="Times New Roman"/>
      <w:sz w:val="24"/>
      <w:szCs w:val="24"/>
      <w:lang w:val="hr-HR"/>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hAnsi="Times New Roman"/>
      <w:sz w:val="24"/>
      <w:szCs w:val="24"/>
      <w:lang w:val="hr-HR"/>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hAnsi="Times New Roman"/>
      <w:sz w:val="24"/>
      <w:szCs w:val="24"/>
      <w:lang w:val="hr-HR"/>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hAnsi="Times New Roman"/>
      <w:sz w:val="24"/>
      <w:szCs w:val="24"/>
      <w:lang w:val="hr-HR"/>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hAnsi="Times New Roman"/>
      <w:sz w:val="24"/>
      <w:szCs w:val="24"/>
      <w:lang w:val="hr-HR"/>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hAnsi="Times New Roman"/>
      <w:sz w:val="24"/>
      <w:szCs w:val="24"/>
      <w:lang w:val="hr-HR"/>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hAnsi="Times New Roman"/>
      <w:sz w:val="24"/>
      <w:szCs w:val="24"/>
      <w:lang w:val="hr-HR"/>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lang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hAnsi="Times New Roman"/>
      <w:sz w:val="24"/>
      <w:szCs w:val="24"/>
      <w:lang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hAnsi="Times New Roman"/>
      <w:sz w:val="24"/>
      <w:szCs w:val="24"/>
      <w:lang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hAnsi="Times New Roman"/>
      <w:sz w:val="24"/>
      <w:szCs w:val="24"/>
      <w:lang w:val="hr-HR"/>
    </w:rPr>
  </w:style>
  <w:style w:styleId="Tablicaslika" w:type="paragraph">
    <w:name w:val="table of figures"/>
    <w:basedOn w:val="Normal"/>
    <w:next w:val="Normal"/>
    <w:uiPriority w:val="99"/>
    <w:semiHidden/>
    <w:unhideWhenUsed/>
    <w:rsid w:val="00551CB3"/>
    <w:pPr>
      <w:spacing w:after="0" w:line="240" w:lineRule="auto"/>
    </w:pPr>
    <w:rPr>
      <w:rFonts w:ascii="Times New Roman" w:hAnsi="Times New Roman"/>
      <w:sz w:val="24"/>
      <w:szCs w:val="24"/>
      <w:lang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lang w:val="hr-HR"/>
    </w:rPr>
  </w:style>
  <w:style w:styleId="Sadraj1" w:type="paragraph">
    <w:name w:val="toc 1"/>
    <w:basedOn w:val="Normal"/>
    <w:next w:val="Normal"/>
    <w:autoRedefine/>
    <w:uiPriority w:val="99"/>
    <w:semiHidden/>
    <w:unhideWhenUsed/>
    <w:rsid w:val="00551CB3"/>
    <w:pPr>
      <w:spacing w:after="100" w:line="240" w:lineRule="auto"/>
    </w:pPr>
    <w:rPr>
      <w:rFonts w:ascii="Times New Roman" w:hAnsi="Times New Roman"/>
      <w:sz w:val="24"/>
      <w:szCs w:val="24"/>
      <w:lang w:val="hr-HR"/>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hAnsi="Times New Roman"/>
      <w:sz w:val="24"/>
      <w:szCs w:val="24"/>
      <w:lang w:val="hr-HR"/>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hAnsi="Times New Roman"/>
      <w:sz w:val="24"/>
      <w:szCs w:val="24"/>
      <w:lang w:val="hr-HR"/>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hAnsi="Times New Roman"/>
      <w:sz w:val="24"/>
      <w:szCs w:val="24"/>
      <w:lang w:val="hr-HR"/>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hAnsi="Times New Roman"/>
      <w:sz w:val="24"/>
      <w:szCs w:val="24"/>
      <w:lang w:val="hr-HR"/>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hAnsi="Times New Roman"/>
      <w:sz w:val="24"/>
      <w:szCs w:val="24"/>
      <w:lang w:val="hr-HR"/>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hAnsi="Times New Roman"/>
      <w:sz w:val="24"/>
      <w:szCs w:val="24"/>
      <w:lang w:val="hr-HR"/>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hAnsi="Times New Roman"/>
      <w:sz w:val="24"/>
      <w:szCs w:val="24"/>
      <w:lang w:val="hr-HR"/>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hAnsi="Times New Roman"/>
      <w:sz w:val="24"/>
      <w:szCs w:val="24"/>
      <w:lang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hAnsi="Times New Roman"/>
      <w:sz w:val="20"/>
      <w:szCs w:val="24"/>
      <w:lang w:val="hr-HR"/>
    </w:rPr>
  </w:style>
  <w:style w:customStyle="1" w:styleId="IzvornikNacrt" w:type="paragraph">
    <w:name w:val="Izvornik_Nacrt"/>
    <w:basedOn w:val="Normal"/>
    <w:link w:val="IzvornikNacrtChar"/>
    <w:qFormat/>
    <w:rsid w:val="00EB0D4C"/>
    <w:pPr>
      <w:keepNext/>
      <w:spacing w:after="0" w:line="240" w:lineRule="auto"/>
    </w:pPr>
    <w:rPr>
      <w:rFonts w:ascii="Times New Roman" w:cs="Times New Roman" w:eastAsia="Calibri" w:hAnsi="Times New Roman"/>
      <w:noProof/>
      <w:color w:val="000000"/>
      <w:sz w:val="24"/>
      <w:szCs w:val="24"/>
      <w:lang w:eastAsia="hr-HR"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cs="Times New Roman" w:eastAsia="Calibri" w:hAnsi="Times New Roman"/>
      <w:noProof/>
      <w:color w:val="000000"/>
      <w:sz w:val="24"/>
      <w:szCs w:val="24"/>
      <w:lang w:eastAsia="hr-HR"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cs="Times New Roman" w:eastAsia="Calibri" w:hAnsi="Times New Roman"/>
      <w:noProof/>
      <w:color w:val="000000"/>
      <w:sz w:val="24"/>
      <w:szCs w:val="24"/>
      <w:lang w:eastAsia="hr-HR"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hAnsi="Times New Roman"/>
      <w:noProof/>
      <w:sz w:val="24"/>
      <w:szCs w:val="24"/>
      <w:lang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cs="Times New Roman" w:eastAsia="Calibri" w:hAnsi="Times New Roman"/>
      <w:color w:val="000000"/>
      <w:sz w:val="24"/>
      <w:szCs w:val="24"/>
      <w:lang w:eastAsia="hr-HR"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cs="Times New Roman" w:eastAsia="Calibri" w:hAnsi="Times New Roman"/>
      <w:noProof/>
      <w:color w:val="000000"/>
      <w:sz w:val="24"/>
      <w:szCs w:val="24"/>
      <w:lang w:eastAsia="hr-HR"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hAnsi="Times New Roman"/>
      <w:sz w:val="24"/>
      <w:szCs w:val="24"/>
      <w:lang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hAnsi="Times New Roman"/>
      <w:sz w:val="24"/>
      <w:szCs w:val="24"/>
      <w:lang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00164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St-698/2018-13</izvorni_sadrzaj>
    <derivirana_varijabla naziv="DomainObject.Oznaka_1">St-698/2018-13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St-698/2018</izvorni_sadrzaj>
    <derivirana_varijabla naziv="DomainObject.Predmet.OznakaBroj_1">St-698/2018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GeoKOM d.o.o. za geodetsko-katastarske usluge i inženjersku geodeziju u stečaju</izvorni_sadrzaj>
    <derivirana_varijabla naziv="DomainObject.Predmet.ProtustrankaFormated_1">  Stečajna masa iza GeoKOM d.o.o. za geodetsko-katastarske usluge i inženjersku geodeziju u stečaju</derivirana_varijabla>
  </DomainObject.Predmet.ProtustrankaFormated>
  <DomainObject.Predmet.ProtustrankaFormatedOIB>
    <izvorni_sadrzaj>  Stečajna masa iza GeoKOM d.o.o. za geodetsko-katastarske usluge i inženjersku geodeziju u stečaju, OIB 21774528857</izvorni_sadrzaj>
    <derivirana_varijabla naziv="DomainObject.Predmet.ProtustrankaFormatedOIB_1">  Stečajna masa iza GeoKOM d.o.o. za geodetsko-katastarske usluge i inženjersku geodeziju u stečaju, OIB 21774528857</derivirana_varijabla>
  </DomainObject.Predmet.ProtustrankaFormatedOIB>
  <DomainObject.Predmet.ProtustrankaFormatedWithAdress>
    <izvorni_sadrzaj> Stečajna masa iza GeoKOM d.o.o. za geodetsko-katastarske usluge i inženjersku geodeziju u stečaju, Trg dr. F. Tuđmana 12, 31500 Našice</izvorni_sadrzaj>
    <derivirana_varijabla naziv="DomainObject.Predmet.ProtustrankaFormatedWithAdress_1"> Stečajna masa iza GeoKOM d.o.o. za geodetsko-katastarske usluge i inženjersku geodeziju u stečaju, Trg dr. F. Tuđmana 12, 31500 Našice</derivirana_varijabla>
  </DomainObject.Predmet.ProtustrankaFormatedWithAdress>
  <DomainObject.Predmet.ProtustrankaFormatedWithAdressOIB>
    <izvorni_sadrzaj> Stečajna masa iza GeoKOM d.o.o. za geodetsko-katastarske usluge i inženjersku geodeziju u stečaju, OIB 21774528857, Trg dr. F. Tuđmana 12, 31500 Našice</izvorni_sadrzaj>
    <derivirana_varijabla naziv="DomainObject.Predmet.ProtustrankaFormatedWithAdressOIB_1"> Stečajna masa iza GeoKOM d.o.o. za geodetsko-katastarske usluge i inženjersku geodeziju u stečaju, OIB 21774528857, Trg dr. F. Tuđmana 12, 31500 Našice</derivirana_varijabla>
  </DomainObject.Predmet.ProtustrankaFormatedWithAdressOIB>
  <DomainObject.Predmet.ProtustrankaWithAdress>
    <izvorni_sadrzaj>Stečajna masa iza GeoKOM d.o.o. za geodetsko-katastarske usluge i inženjersku geodeziju u stečaju Trg dr. F. Tuđmana 12, 31500 Našice</izvorni_sadrzaj>
    <derivirana_varijabla naziv="DomainObject.Predmet.ProtustrankaWithAdress_1">Stečajna masa iza GeoKOM d.o.o. za geodetsko-katastarske usluge i inženjersku geodeziju u stečaju Trg dr. F. Tuđmana 12, 31500 Našice</derivirana_varijabla>
  </DomainObject.Predmet.ProtustrankaWithAdress>
  <DomainObject.Predmet.ProtustrankaWithAdressOIB>
    <izvorni_sadrzaj>Stečajna masa iza GeoKOM d.o.o. za geodetsko-katastarske usluge i inženjersku geodeziju u stečaju, OIB 21774528857, Trg dr. F. Tuđmana 12, 31500 Našice</izvorni_sadrzaj>
    <derivirana_varijabla naziv="DomainObject.Predmet.ProtustrankaWithAdressOIB_1">Stečajna masa iza GeoKOM d.o.o. za geodetsko-katastarske usluge i inženjersku geodeziju u stečaju, OIB 21774528857, Trg dr. F. Tuđmana 12, 31500 Našice</derivirana_varijabla>
  </DomainObject.Predmet.ProtustrankaWithAdressOIB>
  <DomainObject.Predmet.ProtustrankaNazivFormated>
    <izvorni_sadrzaj>Stečajna masa iza GeoKOM d.o.o. za geodetsko-katastarske usluge i inženjersku geodeziju u stečaju</izvorni_sadrzaj>
    <derivirana_varijabla naziv="DomainObject.Predmet.ProtustrankaNazivFormated_1">Stečajna masa iza GeoKOM d.o.o. za geodetsko-katastarske usluge i inženjersku geodeziju u stečaju</derivirana_varijabla>
  </DomainObject.Predmet.ProtustrankaNazivFormated>
  <DomainObject.Predmet.ProtustrankaNazivFormatedOIB>
    <izvorni_sadrzaj>Stečajna masa iza GeoKOM d.o.o. za geodetsko-katastarske usluge i inženjersku geodeziju u stečaju, OIB 21774528857</izvorni_sadrzaj>
    <derivirana_varijabla naziv="DomainObject.Predmet.ProtustrankaNazivFormatedOIB_1">Stečajna masa iza GeoKOM d.o.o. za geodetsko-katastarske usluge i inženjersku geodeziju u stečaju, OIB 21774528857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Brkanac; Renata Horvatin</izvorni_sadrzaj>
    <derivirana_varijabla naziv="DomainObject.Predmet.StrankaFormated_1">  Gordana Brkanac; Renata Horvatin</derivirana_varijabla>
  </DomainObject.Predmet.StrankaFormated>
  <DomainObject.Predmet.StrankaFormatedOIB>
    <izvorni_sadrzaj>  Gordana Brkanac, OIB 81091901627; Renata Horvatin, OIB 45832446829</izvorni_sadrzaj>
    <derivirana_varijabla naziv="DomainObject.Predmet.StrankaFormatedOIB_1">  Gordana Brkanac, OIB 81091901627; Renata Horvatin, OIB 45832446829</derivirana_varijabla>
  </DomainObject.Predmet.StrankaFormatedOIB>
  <DomainObject.Predmet.StrankaFormatedWithAdress>
    <izvorni_sadrzaj> Gordana Brkanac, Ulica Ljudevita Gaja 2, 10310 Ivanić-Grad; Renata Horvatin, Trg dr. F. Tuđmana 12., 31500 Našice</izvorni_sadrzaj>
    <derivirana_varijabla naziv="DomainObject.Predmet.StrankaFormatedWithAdress_1"> Gordana Brkanac, Ulica Ljudevita Gaja 2, 10310 Ivanić-Grad; Renata Horvatin, Trg dr. F. Tuđmana 12., 31500 Našice</derivirana_varijabla>
  </DomainObject.Predmet.StrankaFormatedWithAdress>
  <DomainObject.Predmet.StrankaFormatedWithAdressOIB>
    <izvorni_sadrzaj> Gordana Brkanac, OIB 81091901627, Ulica Ljudevita Gaja 2, 10310 Ivanić-Grad; Renata Horvatin, OIB 45832446829, Trg dr. F. Tuđmana 12., 31500 Našice</izvorni_sadrzaj>
    <derivirana_varijabla naziv="DomainObject.Predmet.StrankaFormatedWithAdressOIB_1"> Gordana Brkanac, OIB 81091901627, Ulica Ljudevita Gaja 2, 10310 Ivanić-Grad; Renata Horvatin, OIB 45832446829, Trg dr. F. Tuđmana 12., 31500 Našice</derivirana_varijabla>
  </DomainObject.Predmet.StrankaFormatedWithAdressOIB>
  <DomainObject.Predmet.StrankaWithAdress>
    <izvorni_sadrzaj>Gordana Brkanac Ulica Ljudevita Gaja 2,10310 Ivanić-Grad,Renata Horvatin Trg dr. F. Tuđmana 12.,31500 Našice</izvorni_sadrzaj>
    <derivirana_varijabla naziv="DomainObject.Predmet.StrankaWithAdress_1">Gordana Brkanac Ulica Ljudevita Gaja 2,10310 Ivanić-Grad,Renata Horvatin Trg dr. F. Tuđmana 12.,31500 Našice</derivirana_varijabla>
  </DomainObject.Predmet.StrankaWithAdress>
  <DomainObject.Predmet.StrankaWithAdressOIB>
    <izvorni_sadrzaj>Gordana Brkanac, OIB 81091901627, Ulica Ljudevita Gaja 2,10310 Ivanić-Grad,Renata Horvatin, OIB 45832446829, Trg dr. F. Tuđmana 12.,31500 Našice</izvorni_sadrzaj>
    <derivirana_varijabla naziv="DomainObject.Predmet.StrankaWithAdressOIB_1">Gordana Brkanac, OIB 81091901627, Ulica Ljudevita Gaja 2,10310 Ivanić-Grad,Renata Horvatin, OIB 45832446829, Trg dr. F. Tuđmana 12.,31500 Našice</derivirana_varijabla>
  </DomainObject.Predmet.StrankaWithAdressOIB>
  <DomainObject.Predmet.StrankaNazivFormated>
    <izvorni_sadrzaj>Gordana Brkanac,Renata Horvatin</izvorni_sadrzaj>
    <derivirana_varijabla naziv="DomainObject.Predmet.StrankaNazivFormated_1">Gordana Brkanac,Renata Horvatin</derivirana_varijabla>
  </DomainObject.Predmet.StrankaNazivFormated>
  <DomainObject.Predmet.StrankaNazivFormatedOIB>
    <izvorni_sadrzaj>Gordana Brkanac, OIB 81091901627,Renata Horvatin, OIB 45832446829</izvorni_sadrzaj>
    <derivirana_varijabla naziv="DomainObject.Predmet.StrankaNazivFormatedOIB_1">Gordana Brkanac, OIB 81091901627,Renata Horvatin, OIB 45832446829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Gordana Brkanac</item>
      <item>Renata Horvatin</item>
    </izvorni_sadrzaj>
    <derivirana_varijabla naziv="DomainObject.Predmet.StrankaListFormated_1">
      <item>Gordana Brkanac</item>
      <item>Renata Horvatin</item>
    </derivirana_varijabla>
  </DomainObject.Predmet.StrankaListFormated>
  <DomainObject.Predmet.StrankaListFormatedOIB>
    <izvorni_sadrzaj>
      <item>Gordana Brkanac, OIB 81091901627</item>
      <item>Renata Horvatin, OIB 45832446829</item>
    </izvorni_sadrzaj>
    <derivirana_varijabla naziv="DomainObject.Predmet.StrankaListFormatedOIB_1">
      <item>Gordana Brkanac, OIB 81091901627</item>
      <item>Renata Horvatin, OIB 45832446829</item>
    </derivirana_varijabla>
  </DomainObject.Predmet.StrankaListFormatedOIB>
  <DomainObject.Predmet.StrankaListFormatedWithAdress>
    <izvorni_sadrzaj>
      <item>Gordana Brkanac, Ulica Ljudevita Gaja 2, 10310 Ivanić-Grad</item>
      <item>Renata Horvatin, Trg dr. F. Tuđmana 12., 31500 Našice</item>
    </izvorni_sadrzaj>
    <derivirana_varijabla naziv="DomainObject.Predmet.StrankaListFormatedWithAdress_1">
      <item>Gordana Brkanac, Ulica Ljudevita Gaja 2, 10310 Ivanić-Grad</item>
      <item>Renata Horvatin, Trg dr. F. Tuđmana 12., 31500 Našice</item>
    </derivirana_varijabla>
  </DomainObject.Predmet.StrankaListFormatedWithAdress>
  <DomainObject.Predmet.StrankaListFormatedWithAdressOIB>
    <izvorni_sadrzaj>
      <item>Gordana Brkanac, OIB 81091901627, Ulica Ljudevita Gaja 2, 10310 Ivanić-Grad</item>
      <item>Renata Horvatin, OIB 45832446829, Trg dr. F. Tuđmana 12., 31500 Našice</item>
    </izvorni_sadrzaj>
    <derivirana_varijabla naziv="DomainObject.Predmet.StrankaListFormatedWithAdressOIB_1">
      <item>Gordana Brkanac, OIB 81091901627, Ulica Ljudevita Gaja 2, 10310 Ivanić-Grad</item>
      <item>Renata Horvatin, OIB 45832446829, Trg dr. F. Tuđmana 12., 31500 Našice</item>
    </derivirana_varijabla>
  </DomainObject.Predmet.StrankaListFormatedWithAdressOIB>
  <DomainObject.Predmet.StrankaListNazivFormated>
    <izvorni_sadrzaj>
      <item>Gordana Brkanac</item>
      <item>Renata Horvatin</item>
    </izvorni_sadrzaj>
    <derivirana_varijabla naziv="DomainObject.Predmet.StrankaListNazivFormated_1">
      <item>Gordana Brkanac</item>
      <item>Renata Horvatin</item>
    </derivirana_varijabla>
  </DomainObject.Predmet.StrankaListNazivFormated>
  <DomainObject.Predmet.StrankaListNazivFormatedOIB>
    <izvorni_sadrzaj>
      <item>Gordana Brkanac, OIB 81091901627</item>
      <item>Renata Horvatin, OIB 45832446829</item>
    </izvorni_sadrzaj>
    <derivirana_varijabla naziv="DomainObject.Predmet.StrankaListNazivFormatedOIB_1">
      <item>Gordana Brkanac, OIB 81091901627</item>
      <item>Renata Horvatin, OIB 45832446829</item>
    </derivirana_varijabla>
  </DomainObject.Predmet.StrankaListNazivFormatedOIB>
  <DomainObject.Predmet.ProtuStrankaListFormated>
    <izvorni_sadrzaj>
      <item>Stečajna masa iza GeoKOM d.o.o. za geodetsko-katastarske usluge i inženjersku geodeziju u stečaju</item>
    </izvorni_sadrzaj>
    <derivirana_varijabla naziv="DomainObject.Predmet.ProtuStrankaListFormated_1">
      <item>Stečajna masa iza GeoKOM d.o.o. za geodetsko-katastarske usluge i inženjersku geodeziju u stečaju</item>
    </derivirana_varijabla>
  </DomainObject.Predmet.ProtuStrankaListFormated>
  <DomainObject.Predmet.ProtuStrankaListFormatedOIB>
    <izvorni_sadrzaj>
      <item>Stečajna masa iza GeoKOM d.o.o. za geodetsko-katastarske usluge i inženjersku geodeziju u stečaju, OIB 21774528857</item>
    </izvorni_sadrzaj>
    <derivirana_varijabla naziv="DomainObject.Predmet.ProtuStrankaListFormatedOIB_1">
      <item>Stečajna masa iza GeoKOM d.o.o. za geodetsko-katastarske usluge i inženjersku geodeziju u stečaju, OIB 21774528857</item>
    </derivirana_varijabla>
  </DomainObject.Predmet.ProtuStrankaListFormatedOIB>
  <DomainObject.Predmet.ProtuStrankaListFormatedWithAdress>
    <izvorni_sadrzaj>
      <item>Stečajna masa iza GeoKOM d.o.o. za geodetsko-katastarske usluge i inženjersku geodeziju u stečaju, Trg dr. F. Tuđmana 12, 31500 Našice</item>
    </izvorni_sadrzaj>
    <derivirana_varijabla naziv="DomainObject.Predmet.ProtuStrankaListFormatedWithAdress_1">
      <item>Stečajna masa iza GeoKOM d.o.o. za geodetsko-katastarske usluge i inženjersku geodeziju u stečaju, Trg dr. F. Tuđmana 12, 31500 Našice</item>
    </derivirana_varijabla>
  </DomainObject.Predmet.ProtuStrankaListFormatedWithAdress>
  <DomainObject.Predmet.ProtuStrankaListFormatedWithAdressOIB>
    <izvorni_sadrzaj>
      <item>Stečajna masa iza GeoKOM d.o.o. za geodetsko-katastarske usluge i inženjersku geodeziju u stečaju, OIB 21774528857, Trg dr. F. Tuđmana 12, 31500 Našice</item>
    </izvorni_sadrzaj>
    <derivirana_varijabla naziv="DomainObject.Predmet.ProtuStrankaListFormatedWithAdressOIB_1">
      <item>Stečajna masa iza GeoKOM d.o.o. za geodetsko-katastarske usluge i inženjersku geodeziju u stečaju, OIB 21774528857, Trg dr. F. Tuđmana 12, 31500 Našice</item>
    </derivirana_varijabla>
  </DomainObject.Predmet.ProtuStrankaListFormatedWithAdressOIB>
  <DomainObject.Predmet.ProtuStrankaListNazivFormated>
    <izvorni_sadrzaj>
      <item>Stečajna masa iza GeoKOM d.o.o. za geodetsko-katastarske usluge i inženjersku geodeziju u stečaju</item>
    </izvorni_sadrzaj>
    <derivirana_varijabla naziv="DomainObject.Predmet.ProtuStrankaListNazivFormated_1">
      <item>Stečajna masa iza GeoKOM d.o.o. za geodetsko-katastarske usluge i inženjersku geodeziju u stečaju</item>
    </derivirana_varijabla>
  </DomainObject.Predmet.ProtuStrankaListNazivFormated>
  <DomainObject.Predmet.ProtuStrankaListNazivFormatedOIB>
    <izvorni_sadrzaj>
      <item>Stečajna masa iza GeoKOM d.o.o. za geodetsko-katastarske usluge i inženjersku geodeziju u stečaju, OIB 21774528857</item>
    </izvorni_sadrzaj>
    <derivirana_varijabla naziv="DomainObject.Predmet.ProtuStrankaListNazivFormatedOIB_1">
      <item>Stečajna masa iza GeoKOM d.o.o. za geodetsko-katastarske usluge i inženjersku geodeziju u stečaju, OIB 21774528857</item>
    </derivirana_varijabla>
  </DomainObject.Predmet.ProtuStrankaListNazivFormatedOIB>
  <DomainObject.Predmet.OstaliListFormated>
    <izvorni_sadrzaj>
      <item>David Jakovljević, stečajni upravitelj</item>
      <item>Trgovački sud u Zagrebu, sudski registar</item>
    </izvorni_sadrzaj>
    <derivirana_varijabla naziv="DomainObject.Predmet.OstaliListFormated_1">
      <item>David Jakovljević, stečajni upravitelj</item>
      <item>Trgovački sud u Zagrebu, sudski registar</item>
    </derivirana_varijabla>
  </DomainObject.Predmet.OstaliListFormated>
  <DomainObject.Predmet.OstaliListFormatedOIB>
    <izvorni_sadrzaj>
      <item>David Jakovljević, stečajni upravitelj, OIB 63014812654</item>
      <item>Trgovački sud u Zagrebu, sudski registar</item>
    </izvorni_sadrzaj>
    <derivirana_varijabla naziv="DomainObject.Predmet.OstaliListFormatedOIB_1">
      <item>David Jakovljević, stečajni upravitelj, OIB 63014812654</item>
      <item>Trgovački sud u Zagrebu, sudski registar</item>
    </derivirana_varijabla>
  </DomainObject.Predmet.OstaliListFormatedOIB>
  <DomainObject.Predmet.OstaliListFormatedWithAdress>
    <izvorni_sadrzaj>
      <item>David Jakovljević, stečajni upravitelj, Kašinska 7., 10360 Sesvete</item>
      <item>Trgovački sud u Zagrebu, sudski registar, ., 10000 Zagreb</item>
    </izvorni_sadrzaj>
    <derivirana_varijabla naziv="DomainObject.Predmet.OstaliListFormatedWithAdress_1">
      <item>David Jakovljević, stečajni upravitelj, Kašinska 7., 10360 Sesvete</item>
      <item>Trgovački sud u Zagrebu, sudski registar, ., 10000 Zagreb</item>
    </derivirana_varijabla>
  </DomainObject.Predmet.OstaliListFormatedWithAdress>
  <DomainObject.Predmet.OstaliListFormatedWithAdressOIB>
    <izvorni_sadrzaj>
      <item>David Jakovljević, stečajni upravitelj, OIB 63014812654, Kašinska 7., 10360 Sesvete</item>
      <item>Trgovački sud u Zagrebu, sudski registar, ., 10000 Zagreb</item>
    </izvorni_sadrzaj>
    <derivirana_varijabla naziv="DomainObject.Predmet.OstaliListFormatedWithAdressOIB_1">
      <item>David Jakovljević, stečajni upravitelj, OIB 63014812654, Kašinska 7., 10360 Sesvete</item>
      <item>Trgovački sud u Zagrebu, sudski registar, ., 10000 Zagreb</item>
    </derivirana_varijabla>
  </DomainObject.Predmet.OstaliListFormatedWithAdressOIB>
  <DomainObject.Predmet.OstaliListNazivFormated>
    <izvorni_sadrzaj>
      <item>David Jakovljević, stečajni upravitelj</item>
      <item>Trgovački sud u Zagrebu, sudski registar</item>
    </izvorni_sadrzaj>
    <derivirana_varijabla naziv="DomainObject.Predmet.OstaliListNazivFormated_1">
      <item>David Jakovljević, stečajni upravitelj</item>
      <item>Trgovački sud u Zagrebu, sudski registar</item>
    </derivirana_varijabla>
  </DomainObject.Predmet.OstaliListNazivFormated>
  <DomainObject.Predmet.OstaliListNazivFormatedOIB>
    <izvorni_sadrzaj>
      <item>David Jakovljević, stečajni upravitelj, OIB 63014812654</item>
      <item>Trgovački sud u Zagrebu, sudski registar</item>
    </izvorni_sadrzaj>
    <derivirana_varijabla naziv="DomainObject.Predmet.OstaliListNazivFormatedOIB_1">
      <item>David Jakovljević, stečajni upravitelj, OIB 63014812654</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St-698/2018-13</izvorni_sadrzaj>
    <derivirana_varijabla naziv="DomainObject.PoslovniBrojDokumenta_1">St-698/2018-13</derivirana_varijabla>
  </DomainObject.PoslovniBrojDokumenta>
  <DomainObject.Predmet.StrankaIDrugi>
    <izvorni_sadrzaj>Gordana Brkanac i dr.</izvorni_sadrzaj>
    <derivirana_varijabla naziv="DomainObject.Predmet.StrankaIDrugi_1">Gordana Brkanac i dr.</derivirana_varijabla>
  </DomainObject.Predmet.StrankaIDrugi>
  <DomainObject.Predmet.ProtustrankaIDrugi>
    <izvorni_sadrzaj>Stečajna masa iza GeoKOM d.o.o. za geodetsko-katastarske usluge i inženjersku geodeziju u stečaju</izvorni_sadrzaj>
    <derivirana_varijabla naziv="DomainObject.Predmet.ProtustrankaIDrugi_1">Stečajna masa iza GeoKOM d.o.o. za geodetsko-katastarske usluge i inženjersku geodeziju u stečaju</derivirana_varijabla>
  </DomainObject.Predmet.ProtustrankaIDrugi>
  <DomainObject.Predmet.StrankaIDrugiAdressOIB>
    <izvorni_sadrzaj>Gordana Brkanac, OIB 81091901627, Ulica Ljudevita Gaja 2, 10310 Ivanić-Grad i dr.</izvorni_sadrzaj>
    <derivirana_varijabla naziv="DomainObject.Predmet.StrankaIDrugiAdressOIB_1">Gordana Brkanac, OIB 81091901627, Ulica Ljudevita Gaja 2, 10310 Ivanić-Grad i dr.</derivirana_varijabla>
  </DomainObject.Predmet.StrankaIDrugiAdressOIB>
  <DomainObject.Predmet.ProtustrankaIDrugiAdressOIB>
    <izvorni_sadrzaj>Stečajna masa iza GeoKOM d.o.o. za geodetsko-katastarske usluge i inženjersku geodeziju u stečaju, OIB 21774528857, Trg dr. F. Tuđmana 12, 31500 Našice</izvorni_sadrzaj>
    <derivirana_varijabla naziv="DomainObject.Predmet.ProtustrankaIDrugiAdressOIB_1">Stečajna masa iza GeoKOM d.o.o. za geodetsko-katastarske usluge i inženjersku geodeziju u stečaju, OIB 21774528857, Trg dr. F. Tuđmana 12,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Brkanac</item>
      <item>Stečajna masa iza GeoKOM d.o.o. za geodetsko-katastarske usluge i inženjersku geodeziju u stečaju</item>
      <item>David Jakovljević, stečajni upravitelj</item>
      <item>Trgovački sud u Zagrebu, sudski registar</item>
      <item>Renata Horvatin</item>
    </izvorni_sadrzaj>
    <derivirana_varijabla naziv="DomainObject.Predmet.SudioniciListNaziv_1">
      <item>Gordana Brkanac</item>
      <item>Stečajna masa iza GeoKOM d.o.o. za geodetsko-katastarske usluge i inženjersku geodeziju u stečaju</item>
      <item>David Jakovljević, stečajni upravitelj</item>
      <item>Trgovački sud u Zagrebu, sudski registar</item>
      <item>Renata Horvatin</item>
    </derivirana_varijabla>
  </DomainObject.Predmet.SudioniciListNaziv>
  <DomainObject.Predmet.SudioniciListAdressOIB>
    <izvorni_sadrzaj>
      <item>Gordana Brkanac, OIB 81091901627, Ulica Ljudevita Gaja 2,10310 Ivanić-Grad</item>
      <item>Stečajna masa iza GeoKOM d.o.o. za geodetsko-katastarske usluge i inženjersku geodeziju u stečaju, OIB 21774528857, Trg dr. F. Tuđmana 12,31500 Našice</item>
      <item>David Jakovljević, stečajni upravitelj, OIB 63014812654, Kašinska 7.,10360 Sesvete</item>
      <item>Trgovački sud u Zagrebu, sudski registar, .,10000 Zagreb</item>
      <item>Renata Horvatin, OIB 45832446829, Trg dr. F. Tuđmana 12.,31500 Našice</item>
    </izvorni_sadrzaj>
    <derivirana_varijabla naziv="DomainObject.Predmet.SudioniciListAdressOIB_1">
      <item>Gordana Brkanac, OIB 81091901627, Ulica Ljudevita Gaja 2,10310 Ivanić-Grad</item>
      <item>Stečajna masa iza GeoKOM d.o.o. za geodetsko-katastarske usluge i inženjersku geodeziju u stečaju, OIB 21774528857, Trg dr. F. Tuđmana 12,31500 Našice</item>
      <item>David Jakovljević, stečajni upravitelj, OIB 63014812654, Kašinska 7.,10360 Sesvete</item>
      <item>Trgovački sud u Zagrebu, sudski registar, .,10000 Zagreb</item>
      <item>Renata Horvatin, OIB 45832446829, Trg dr. F. Tuđmana 12.,31500 Našice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3D51F-FF25-4240-987A-A2E53387E3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2554</properties:Characters>
  <properties:Lines>67</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2019-03-14T11:28:00Z</cp:lastPrinted>
  <dcterms:modified xmlns:xsi="http://www.w3.org/2001/XMLSchema-instance" xsi:type="dcterms:W3CDTF">2019-03-14T11:32:00Z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St-698/2018-13 / Odluka - Rješenje - obustava i zaključenje stečajnog postupka zbog nedostatnosti stečajne mase (odluka_St-698_2018-13.docx)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