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e08b" w14:paraId="d9de08b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FF79CE">
        <w:t>269</w:t>
      </w:r>
      <w:r w:rsidR="007447EE">
        <w:t>/2017</w:t>
      </w:r>
      <w:r>
        <w:t>-</w:t>
      </w:r>
      <w:r w:rsidR="00FF79CE">
        <w:t>17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F79CE">
        <w:t>FUTURA VERDE j.d.o.o. iz Zadra, Krste Hegedušića 2, OIB: 22967331249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D7AB9">
        <w:t>15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C58E1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14DD7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D7AB9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458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2018-02-09T08:29:00Z</dcterms:created>
  <dc:creator>Administrator</dc:creator>
  <cp:lastModifiedBy>Ante Rubelj</cp:lastModifiedBy>
  <cp:lastPrinted>2017-05-09T11:42:00Z</cp:lastPrinted>
  <dcterms:modified xmlns:xsi="http://www.w3.org/2001/XMLSchema-instance" xsi:type="dcterms:W3CDTF">2018-02-15T10:31:00Z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