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d185" w14:paraId="a49d185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0D58C2" w:rsidP="00C54AF7" w:rsidR="0031201A" w:rsidRPr="005D23CA">
      <w:pPr>
        <w:rPr>
          <w:b/>
        </w:rPr>
      </w:pPr>
      <w:r>
        <w:rPr>
          <w:noProof/>
        </w:rPr>
        <w:t xml:space="preserve">            </w:t>
      </w:r>
      <w:r w:rsidR="00AD7B9D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75pt;height:75.8pt;visibility:visible;mso-wrap-style:square" type="#_x0000_t75">
            <v:imagedata r:id="rId10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DB112A" w:rsidP="00872FBE" w:rsidR="00DB112A">
      <w:pPr>
        <w:jc w:val="right"/>
      </w:pPr>
    </w:p>
    <w:p w:rsidRDefault="00D82C43" w:rsidP="00D82C43" w:rsidR="00D82C43" w:rsidRPr="005779DB">
      <w:pPr>
        <w:jc w:val="center"/>
      </w:pPr>
      <w:r w:rsidRPr="005779DB">
        <w:t>R J E Š E NJ E</w:t>
      </w:r>
    </w:p>
    <w:p w:rsidRDefault="00D82C43" w:rsidP="00D82C43" w:rsidR="00D82C43" w:rsidRPr="005779DB">
      <w:pPr>
        <w:jc w:val="center"/>
      </w:pPr>
      <w:r w:rsidRPr="005779DB">
        <w:t xml:space="preserve">I </w:t>
      </w:r>
    </w:p>
    <w:p w:rsidRDefault="00D82C43" w:rsidP="00D82C43" w:rsidR="00D82C43" w:rsidRPr="005779DB">
      <w:pPr>
        <w:jc w:val="center"/>
      </w:pPr>
      <w:r w:rsidRPr="005779DB">
        <w:t xml:space="preserve">Z A K LJ U Č A K </w:t>
      </w:r>
    </w:p>
    <w:p w:rsidRDefault="00D82C43" w:rsidP="00D82C43" w:rsidR="00D82C43" w:rsidRPr="00775063">
      <w:pPr>
        <w:jc w:val="center"/>
        <w:rPr>
          <w:b/>
        </w:rPr>
      </w:pPr>
    </w:p>
    <w:p w:rsidRDefault="00D82C43" w:rsidP="00D82C43" w:rsidR="00552E7D" w:rsidRPr="006C2557">
      <w:pPr>
        <w:jc w:val="both"/>
      </w:pPr>
      <w:r w:rsidRPr="00775063">
        <w:t xml:space="preserve">  </w:t>
      </w:r>
      <w:r w:rsidRPr="00775063">
        <w:tab/>
      </w:r>
      <w:r>
        <w:t>T</w:t>
      </w:r>
      <w:r w:rsidRPr="00775063">
        <w:t xml:space="preserve">rgovački sud u </w:t>
      </w:r>
      <w:r>
        <w:t>Z</w:t>
      </w:r>
      <w:r w:rsidRPr="00775063">
        <w:t xml:space="preserve">agrebu, po sucu Anti Galiću, kao stečajnom sucu, u stečajnom postupku nad dužnikom </w:t>
      </w:r>
      <w:r w:rsidR="000D58C2">
        <w:rPr>
          <w:sz w:val="22"/>
        </w:rPr>
        <w:t xml:space="preserve">GRADSKA BANKA d.d. - u stečaju, Osijek, Trg A. Starčevića 7, </w:t>
      </w:r>
      <w:r>
        <w:t xml:space="preserve">dana </w:t>
      </w:r>
      <w:r w:rsidR="000D58C2">
        <w:t>17. studenog 2015</w:t>
      </w:r>
      <w:r w:rsidR="006C2557">
        <w:t>.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 w:rsidRPr="00872FBE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872FBE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872FBE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872FBE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="005779DB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D58C2">
        <w:rPr>
          <w:rFonts w:hAnsi="Times New Roman" w:ascii="Times New Roman"/>
          <w:color w:val="auto"/>
          <w:szCs w:val="24"/>
        </w:rPr>
        <w:t xml:space="preserve">22. prosinca </w:t>
      </w:r>
      <w:r w:rsidR="00CA134C" w:rsidRPr="00CA134C">
        <w:rPr>
          <w:rFonts w:hAnsi="Times New Roman" w:ascii="Times New Roman"/>
          <w:color w:val="auto"/>
          <w:szCs w:val="24"/>
        </w:rPr>
        <w:t xml:space="preserve"> 201</w:t>
      </w:r>
      <w:r w:rsidR="000D58C2">
        <w:rPr>
          <w:rFonts w:hAnsi="Times New Roman" w:ascii="Times New Roman"/>
          <w:color w:val="auto"/>
          <w:szCs w:val="24"/>
        </w:rPr>
        <w:t>5</w:t>
      </w:r>
      <w:r w:rsidR="00CA134C" w:rsidRPr="00CA134C">
        <w:rPr>
          <w:rFonts w:hAnsi="Times New Roman" w:ascii="Times New Roman"/>
          <w:color w:val="auto"/>
          <w:szCs w:val="24"/>
        </w:rPr>
        <w:t>.</w:t>
      </w:r>
      <w:r w:rsidR="000D58C2">
        <w:rPr>
          <w:rFonts w:hAnsi="Times New Roman" w:ascii="Times New Roman"/>
          <w:color w:val="auto"/>
          <w:szCs w:val="24"/>
        </w:rPr>
        <w:t xml:space="preserve"> </w:t>
      </w:r>
      <w:r w:rsidR="00CA134C" w:rsidRPr="00CA134C">
        <w:rPr>
          <w:rFonts w:hAnsi="Times New Roman" w:ascii="Times New Roman"/>
          <w:color w:val="auto"/>
          <w:szCs w:val="24"/>
        </w:rPr>
        <w:t xml:space="preserve">u </w:t>
      </w:r>
      <w:r w:rsidR="000D58C2">
        <w:rPr>
          <w:rFonts w:hAnsi="Times New Roman" w:ascii="Times New Roman"/>
          <w:color w:val="auto"/>
          <w:szCs w:val="24"/>
        </w:rPr>
        <w:t>9.30</w:t>
      </w:r>
      <w:r w:rsidR="00CA134C" w:rsidRPr="00CA134C">
        <w:rPr>
          <w:rFonts w:hAnsi="Times New Roman" w:ascii="Times New Roman"/>
          <w:color w:val="auto"/>
          <w:szCs w:val="24"/>
        </w:rPr>
        <w:t xml:space="preserve"> </w:t>
      </w:r>
      <w:r w:rsidRPr="00CA134C">
        <w:rPr>
          <w:rFonts w:hAnsi="Times New Roman" w:ascii="Times New Roman"/>
          <w:color w:val="auto"/>
          <w:szCs w:val="24"/>
        </w:rPr>
        <w:t>sati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5779DB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5779DB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 w:rsidRPr="005779DB">
      <w:pPr>
        <w:ind w:firstLine="708" w:left="357"/>
        <w:jc w:val="both"/>
        <w:rPr>
          <w:sz w:val="40"/>
          <w:szCs w:val="40"/>
        </w:rPr>
      </w:pPr>
    </w:p>
    <w:p w:rsidRDefault="00953DF9" w:rsidP="00953DF9" w:rsidR="00CA134C" w:rsidRPr="00872FBE">
      <w:pPr>
        <w:jc w:val="center"/>
      </w:pPr>
      <w:r w:rsidRPr="00872FBE"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 xml:space="preserve"> Završni račun stečajnog upravitelja</w:t>
      </w:r>
      <w:r w:rsidR="005779DB">
        <w:t xml:space="preserve"> i </w:t>
      </w:r>
      <w:r w:rsidR="00D4566E">
        <w:t xml:space="preserve"> </w:t>
      </w:r>
      <w:r>
        <w:t>završni diob</w:t>
      </w:r>
      <w:r w:rsidR="004E566A">
        <w:t>e</w:t>
      </w:r>
      <w:r>
        <w:t>ni popis izložiti će se na uvid vjerovnicima u sobi stečajnog suca u Za</w:t>
      </w:r>
      <w:r w:rsidR="004E566A">
        <w:t>g</w:t>
      </w:r>
      <w:r>
        <w:t xml:space="preserve">rebu, Petrinjska 8, soba br. </w:t>
      </w:r>
      <w:r w:rsidR="006C2557">
        <w:t>92</w:t>
      </w:r>
      <w:r>
        <w:t>/II.</w:t>
      </w:r>
    </w:p>
    <w:p w:rsidRDefault="00CA134C" w:rsidP="00CA134C" w:rsidR="00CA134C">
      <w:pPr>
        <w:tabs>
          <w:tab w:pos="1320" w:val="left"/>
        </w:tabs>
        <w:jc w:val="both"/>
      </w:pPr>
    </w:p>
    <w:p w:rsidRDefault="00953DF9" w:rsidP="00953DF9" w:rsidR="00953DF9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983D5A">
      <w:pPr>
        <w:jc w:val="both"/>
      </w:pPr>
      <w:r>
        <w:tab/>
        <w:t>Uz podnesak od</w:t>
      </w:r>
      <w:r w:rsidR="00EE3CE2">
        <w:t xml:space="preserve"> </w:t>
      </w:r>
      <w:r w:rsidR="006C2557">
        <w:t>1</w:t>
      </w:r>
      <w:r w:rsidR="000D58C2">
        <w:t>0. studenog 2015.</w:t>
      </w:r>
      <w:r w:rsidR="00983D5A">
        <w:t xml:space="preserve"> </w:t>
      </w:r>
      <w:r w:rsidR="00CA134C">
        <w:t xml:space="preserve"> stečajni je upravitelj dostavio stečajnom sucu završni diobni popis i predložio održavanje završnog ročišta, </w:t>
      </w:r>
      <w:r w:rsidR="00983D5A">
        <w:t>te završni račun.</w:t>
      </w:r>
    </w:p>
    <w:p w:rsidRDefault="004E566A" w:rsidP="00DE7A26" w:rsidR="004E566A">
      <w:pPr>
        <w:jc w:val="both"/>
      </w:pPr>
      <w:r>
        <w:tab/>
        <w:t>Prema odredbi članka 192. stavak 2. Stečajnog zakona</w:t>
      </w:r>
      <w:r w:rsidR="0031201A">
        <w:t xml:space="preserve"> (NN br. 44/9</w:t>
      </w:r>
      <w:r w:rsidR="006C2557">
        <w:t>6,29/99, 129/00, 123/03, 82/06,</w:t>
      </w:r>
      <w:r w:rsidR="0031201A">
        <w:t xml:space="preserve"> 116/10,</w:t>
      </w:r>
      <w:r w:rsidR="006C2557">
        <w:t>25/12 i 133/12</w:t>
      </w:r>
      <w:r w:rsidR="0031201A">
        <w:t xml:space="preserve"> dalje: SZ),</w:t>
      </w:r>
      <w:r w:rsidR="000D58C2">
        <w:t>koji se u ovom postupku primjenjuje temeljem odredbe članka 441. stavak 1. Stečajnog zakona (NN br. 71/15)</w:t>
      </w:r>
      <w:r w:rsidR="0031201A">
        <w:t xml:space="preserve"> z</w:t>
      </w:r>
      <w:r>
        <w:t>avršna dioba se može poduzeti samo uz suglasnost stečajnog suca. Kako je unovčena sva stečajna masa ne postoje pravne ni stvarne zapreke za poduzimanje završne diobe. Stoga je a temeljem članka 192. stavak 2. S</w:t>
      </w:r>
      <w:r w:rsidR="0031201A">
        <w:t>Z-a</w:t>
      </w:r>
      <w:r>
        <w:t xml:space="preserve"> </w:t>
      </w:r>
      <w:r w:rsidR="006C2557">
        <w:t xml:space="preserve">odlučeno kao u izreci rješenja. </w:t>
      </w:r>
    </w:p>
    <w:p w:rsidRDefault="004E566A" w:rsidP="00DE7A26" w:rsidR="004E566A">
      <w:pPr>
        <w:jc w:val="both"/>
      </w:pPr>
      <w:r>
        <w:tab/>
        <w:t xml:space="preserve">Prema odredbi članka 193. stavak 1. SZ-a prigodom davanja suglasnosti na završnu diobu stečajni sudac određuje završno ročište vjerovnika. </w:t>
      </w:r>
    </w:p>
    <w:p w:rsidRDefault="004E566A" w:rsidP="00DE7A26" w:rsidR="000D58C2">
      <w:pPr>
        <w:jc w:val="both"/>
      </w:pPr>
      <w:r>
        <w:tab/>
      </w:r>
      <w:r w:rsidR="00983D5A">
        <w:t xml:space="preserve">U konkretnom slučaju, </w:t>
      </w:r>
      <w:r w:rsidR="000D58C2">
        <w:t>provedeno je više djelomičnih dioba a kako je stečajni upravitelj rezervirao sredstva za namirenje ostalih obveza stečajne mase, sukladno odredbi članka 87. a SZ-a po završnom diobnom popisu neće se provoditi isplata vjerovnika.</w:t>
      </w:r>
    </w:p>
    <w:p w:rsidRDefault="00983D5A" w:rsidP="00983D5A" w:rsidR="00DB112A">
      <w:pPr>
        <w:ind w:firstLine="708"/>
        <w:jc w:val="both"/>
      </w:pPr>
      <w:r>
        <w:t xml:space="preserve">Stoga, u konkretnom slučaju, kako se kod stečajnog dužnika neće provoditi završna dioba, stečajni sudac nije dao suglasnost na </w:t>
      </w:r>
      <w:r w:rsidR="00DB112A">
        <w:t xml:space="preserve">provedbu </w:t>
      </w:r>
      <w:r>
        <w:t>završn</w:t>
      </w:r>
      <w:r w:rsidR="00DB112A">
        <w:t>e</w:t>
      </w:r>
      <w:r>
        <w:t xml:space="preserve"> diob</w:t>
      </w:r>
      <w:r w:rsidR="00DB112A">
        <w:t>e</w:t>
      </w:r>
      <w:r>
        <w:t xml:space="preserve">. </w:t>
      </w:r>
      <w:r w:rsidR="00DB112A">
        <w:t xml:space="preserve">Kako je stečajnu upravitelj namirio sve troškove ne postoje prepreke za izradu završnog diobnog popisa prema </w:t>
      </w:r>
      <w:r w:rsidR="00DB112A">
        <w:lastRenderedPageBreak/>
        <w:t xml:space="preserve">kojem bi se u slučaju naknadnog pronalaska imovine stečajnog dužnika provodila završna dioba. Stoga je na završnom ročištu, o kao točku dnevnog reda valjalo odrediti podnošenje prigovora na završni diobni popis. </w:t>
      </w:r>
    </w:p>
    <w:p w:rsidRDefault="00DB112A" w:rsidP="00983D5A" w:rsidR="004E566A">
      <w:pPr>
        <w:ind w:firstLine="708"/>
        <w:jc w:val="both"/>
      </w:pPr>
      <w:r>
        <w:t>Stoga je t</w:t>
      </w:r>
      <w:r w:rsidR="0031201A">
        <w:t xml:space="preserve">emeljem članka 193. stavak 1. SZ-a </w:t>
      </w:r>
      <w:r w:rsidR="004E566A">
        <w:t>odredio završno ročišt</w:t>
      </w:r>
      <w:r>
        <w:t>e vjerovnika</w:t>
      </w:r>
      <w:r w:rsidR="004E566A">
        <w:t>.</w:t>
      </w:r>
    </w:p>
    <w:p w:rsidRDefault="00872FBE" w:rsidP="00983D5A" w:rsidR="00872FBE">
      <w:pPr>
        <w:ind w:firstLine="708"/>
        <w:jc w:val="both"/>
      </w:pPr>
    </w:p>
    <w:p w:rsidRDefault="00872FBE" w:rsidP="00983D5A" w:rsidR="00872FBE">
      <w:pPr>
        <w:ind w:firstLine="708"/>
        <w:jc w:val="both"/>
      </w:pPr>
    </w:p>
    <w:p w:rsidRDefault="004E566A" w:rsidP="00DE7A26" w:rsidR="004E566A" w:rsidRPr="00CA134C">
      <w:pPr>
        <w:jc w:val="both"/>
      </w:pPr>
      <w:r>
        <w:tab/>
      </w:r>
      <w:r w:rsidRPr="00CA134C">
        <w:t>O izlaganju završnog računa odlučeno je temeljem članka 31. stavak 3. SZ-a</w:t>
      </w:r>
      <w:r w:rsidR="0031201A" w:rsidRPr="00CA134C">
        <w:t xml:space="preserve"> (točka I zaključka)</w:t>
      </w:r>
      <w:r w:rsidRPr="00CA134C">
        <w:t>.</w:t>
      </w:r>
    </w:p>
    <w:p w:rsidRDefault="004E566A" w:rsidP="00DE7A26" w:rsidR="004E566A" w:rsidRPr="00CA134C">
      <w:pPr>
        <w:jc w:val="both"/>
      </w:pPr>
      <w:r w:rsidRPr="00CA134C">
        <w:tab/>
      </w:r>
    </w:p>
    <w:p w:rsidRDefault="004E566A" w:rsidP="00DE7A26" w:rsidR="004E566A" w:rsidRPr="00CA134C">
      <w:pPr>
        <w:jc w:val="both"/>
      </w:pPr>
      <w:r w:rsidRPr="00CA134C">
        <w:tab/>
        <w:t xml:space="preserve">O izlaganju završnog diobenog popisa odlučeno je temeljem članka </w:t>
      </w:r>
      <w:r w:rsidR="0031201A" w:rsidRPr="00CA134C">
        <w:t>184. stavak 1. Stečajnog zakona(točka I zaključka).</w:t>
      </w:r>
      <w:r w:rsidRPr="00CA134C">
        <w:t xml:space="preserve">  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31201A" w:rsidP="00DE7A26" w:rsidR="00DE7A26" w:rsidRPr="005D23CA">
      <w:pPr>
        <w:jc w:val="both"/>
      </w:pPr>
      <w:r>
        <w:tab/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0D58C2">
        <w:t>17. studenog 2015.</w:t>
      </w:r>
    </w:p>
    <w:p w:rsidRDefault="004E2F55" w:rsidP="00210798" w:rsidR="004E2F55">
      <w:pPr>
        <w:ind w:left="360"/>
        <w:jc w:val="center"/>
      </w:pPr>
    </w:p>
    <w:p w:rsidRDefault="004E566A" w:rsidP="00210798" w:rsidR="004E566A" w:rsidRPr="005D23CA">
      <w:pPr>
        <w:ind w:left="360"/>
        <w:jc w:val="center"/>
      </w:pPr>
    </w:p>
    <w:p w:rsidRDefault="00210798" w:rsidP="002E4BB8" w:rsidR="00210798" w:rsidRPr="005D23CA">
      <w:pPr>
        <w:ind w:left="4956"/>
        <w:jc w:val="both"/>
      </w:pPr>
    </w:p>
    <w:p w:rsidRDefault="007D0288" w:rsidP="005D07D3" w:rsidR="002E4BB8" w:rsidRPr="005D23CA">
      <w:pPr>
        <w:ind w:left="4956"/>
        <w:jc w:val="right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5D07D3" w:rsidR="00C059C7">
      <w:pPr>
        <w:ind w:firstLine="708" w:left="5664"/>
        <w:jc w:val="right"/>
      </w:pPr>
      <w:r w:rsidRPr="005D23CA">
        <w:t xml:space="preserve"> </w:t>
      </w:r>
      <w:r w:rsidR="00256C13" w:rsidRPr="005D23CA">
        <w:t>Ante Galić</w:t>
      </w:r>
      <w:r w:rsidR="007C5D63">
        <w:t xml:space="preserve"> v.r.</w:t>
      </w:r>
    </w:p>
    <w:p w:rsidRDefault="00C059C7" w:rsidP="008D1DD1" w:rsidR="00C059C7"/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CE0CAA" w:rsidP="007C5D63" w:rsidR="00CE0CAA"/>
    <w:p w:rsidRDefault="00CE0CAA" w:rsidP="007C5D63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  <w:r w:rsidR="007C5D63">
        <w:t>.</w:t>
      </w:r>
    </w:p>
    <w:p w:rsidRDefault="007C5D63" w:rsidP="000D58C2" w:rsidR="007C5D63">
      <w:pPr>
        <w:ind w:left="1080"/>
      </w:pPr>
    </w:p>
    <w:p w:rsidRDefault="000D58C2" w:rsidP="007C5D63" w:rsidR="000D58C2">
      <w:pPr>
        <w:jc w:val="right"/>
      </w:pPr>
    </w:p>
    <w:p w:rsidRDefault="000D58C2" w:rsidP="007C5D63" w:rsidR="000D58C2">
      <w:pPr>
        <w:jc w:val="right"/>
      </w:pPr>
    </w:p>
    <w:p w:rsidRDefault="007C5D63" w:rsidP="007C5D63" w:rsidR="007C5D63">
      <w:pPr>
        <w:jc w:val="right"/>
      </w:pPr>
      <w:r>
        <w:t>Za točnost otpravka-ovlašteni službenik</w:t>
      </w:r>
    </w:p>
    <w:p w:rsidRDefault="007C5D63" w:rsidP="007C5D63" w:rsidR="007C5D63">
      <w:pPr>
        <w:jc w:val="right"/>
      </w:pPr>
      <w:r>
        <w:t xml:space="preserve">Ivanka </w:t>
      </w:r>
      <w:r w:rsidR="000D58C2">
        <w:t>Kelava</w:t>
      </w:r>
    </w:p>
    <w:p w:rsidRDefault="004E566A" w:rsidP="008D1DD1" w:rsidR="004E566A"/>
    <w:p w:rsidRDefault="004E2F55" w:rsidP="004E2F55" w:rsidR="00C24CE1">
      <w:r>
        <w:t>DNA</w:t>
      </w:r>
    </w:p>
    <w:p w:rsidRDefault="00903EED" w:rsidP="00C24CE1" w:rsidR="004E2F55">
      <w:pPr>
        <w:numPr>
          <w:ilvl w:val="0"/>
          <w:numId w:val="10"/>
        </w:numPr>
      </w:pPr>
      <w:r>
        <w:t>s</w:t>
      </w:r>
      <w:r w:rsidR="00B33D39">
        <w:t>te</w:t>
      </w:r>
      <w:r w:rsidR="004E566A">
        <w:t xml:space="preserve">čajni upravitelj </w:t>
      </w:r>
    </w:p>
    <w:p w:rsidRDefault="000D58C2" w:rsidP="00C24CE1" w:rsidR="00C24CE1">
      <w:pPr>
        <w:numPr>
          <w:ilvl w:val="0"/>
          <w:numId w:val="10"/>
        </w:numPr>
      </w:pPr>
      <w:r>
        <w:t>e-</w:t>
      </w:r>
      <w:r w:rsidR="004E2F55">
        <w:t xml:space="preserve">oglasna ploča suda – ovdje </w:t>
      </w:r>
      <w:r w:rsidR="00C24CE1">
        <w:t xml:space="preserve"> </w:t>
      </w:r>
      <w:r w:rsidR="0031201A">
        <w:t>30 dana</w:t>
      </w:r>
    </w:p>
    <w:p w:rsidRDefault="00903EED" w:rsidP="00C24CE1" w:rsidR="00C24CE1">
      <w:pPr>
        <w:numPr>
          <w:ilvl w:val="0"/>
          <w:numId w:val="10"/>
        </w:numPr>
      </w:pPr>
      <w:r>
        <w:t>s</w:t>
      </w:r>
      <w:r w:rsidR="00C24CE1">
        <w:t xml:space="preserve">pis </w:t>
      </w:r>
    </w:p>
    <w:p w:rsidRDefault="00613248" w:rsidR="00613248"/>
    <w:sectPr w:rsidSect="00164CAA" w:rsidR="00613248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ACE" w:rsidR="00900ACE">
      <w:r>
        <w:separator/>
      </w:r>
    </w:p>
  </w:endnote>
  <w:endnote w:id="0" w:type="continuationSeparator">
    <w:p w:rsidRDefault="00900ACE" w:rsidR="00900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ACE" w:rsidR="00900ACE">
      <w:r>
        <w:separator/>
      </w:r>
    </w:p>
  </w:footnote>
  <w:footnote w:id="0" w:type="continuationSeparator">
    <w:p w:rsidRDefault="00900ACE" w:rsidR="00900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7B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72FBE" w:rsidP="00872FBE" w:rsidR="00872FBE" w:rsidRPr="00775063">
    <w:pPr>
      <w:jc w:val="right"/>
    </w:pPr>
    <w:r w:rsidRPr="00591294">
      <w:t>40</w:t>
    </w:r>
    <w:r w:rsidRPr="00775063">
      <w:t>-St-</w:t>
    </w:r>
    <w:r w:rsidR="000D58C2">
      <w:t>225/99</w:t>
    </w:r>
  </w:p>
  <w:p w:rsidRDefault="007038ED" w:rsidP="00D82C43" w:rsidR="007038E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6E8CF92"/>
    <w:lvl w:tplc="B9F6AD3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10798"/>
    <w:rsid w:val="00071C93"/>
    <w:rsid w:val="00084241"/>
    <w:rsid w:val="00085D95"/>
    <w:rsid w:val="000A452F"/>
    <w:rsid w:val="000A6AC5"/>
    <w:rsid w:val="000D26B1"/>
    <w:rsid w:val="000D58C2"/>
    <w:rsid w:val="000E7946"/>
    <w:rsid w:val="001057F6"/>
    <w:rsid w:val="00114430"/>
    <w:rsid w:val="00117797"/>
    <w:rsid w:val="001328DA"/>
    <w:rsid w:val="00140DB3"/>
    <w:rsid w:val="00151AA7"/>
    <w:rsid w:val="00164CAA"/>
    <w:rsid w:val="00183D9A"/>
    <w:rsid w:val="001C1427"/>
    <w:rsid w:val="001C15EC"/>
    <w:rsid w:val="00204047"/>
    <w:rsid w:val="00210798"/>
    <w:rsid w:val="00250E51"/>
    <w:rsid w:val="00256C13"/>
    <w:rsid w:val="002A7D72"/>
    <w:rsid w:val="002E4BB8"/>
    <w:rsid w:val="002F41BF"/>
    <w:rsid w:val="003051CB"/>
    <w:rsid w:val="00305A8A"/>
    <w:rsid w:val="003102E6"/>
    <w:rsid w:val="0031201A"/>
    <w:rsid w:val="00313214"/>
    <w:rsid w:val="00370380"/>
    <w:rsid w:val="00400F7B"/>
    <w:rsid w:val="004020FE"/>
    <w:rsid w:val="0040344D"/>
    <w:rsid w:val="00413795"/>
    <w:rsid w:val="004511BC"/>
    <w:rsid w:val="00467898"/>
    <w:rsid w:val="00483A2F"/>
    <w:rsid w:val="00485CAB"/>
    <w:rsid w:val="004E2F55"/>
    <w:rsid w:val="004E566A"/>
    <w:rsid w:val="005529EA"/>
    <w:rsid w:val="00552E7D"/>
    <w:rsid w:val="00575CCF"/>
    <w:rsid w:val="005779DB"/>
    <w:rsid w:val="005A395A"/>
    <w:rsid w:val="005C1436"/>
    <w:rsid w:val="005D07D3"/>
    <w:rsid w:val="005D23CA"/>
    <w:rsid w:val="00613248"/>
    <w:rsid w:val="00636780"/>
    <w:rsid w:val="00641319"/>
    <w:rsid w:val="006604A3"/>
    <w:rsid w:val="006C2557"/>
    <w:rsid w:val="006D4DB2"/>
    <w:rsid w:val="00701444"/>
    <w:rsid w:val="007038ED"/>
    <w:rsid w:val="00725EFF"/>
    <w:rsid w:val="007625AF"/>
    <w:rsid w:val="00777886"/>
    <w:rsid w:val="00784BBD"/>
    <w:rsid w:val="00785671"/>
    <w:rsid w:val="007A12DF"/>
    <w:rsid w:val="007B0448"/>
    <w:rsid w:val="007C5D63"/>
    <w:rsid w:val="007D009D"/>
    <w:rsid w:val="007D0288"/>
    <w:rsid w:val="007D27AD"/>
    <w:rsid w:val="007F5F7C"/>
    <w:rsid w:val="0082794A"/>
    <w:rsid w:val="00834C87"/>
    <w:rsid w:val="008558F8"/>
    <w:rsid w:val="00855C48"/>
    <w:rsid w:val="0086171F"/>
    <w:rsid w:val="00863AA6"/>
    <w:rsid w:val="00872FBE"/>
    <w:rsid w:val="008744BE"/>
    <w:rsid w:val="008839D7"/>
    <w:rsid w:val="00892FC4"/>
    <w:rsid w:val="008D1DD1"/>
    <w:rsid w:val="008D49DD"/>
    <w:rsid w:val="008E0716"/>
    <w:rsid w:val="008E58B9"/>
    <w:rsid w:val="008E7DD6"/>
    <w:rsid w:val="008F0F39"/>
    <w:rsid w:val="00900ACE"/>
    <w:rsid w:val="00903EED"/>
    <w:rsid w:val="00907659"/>
    <w:rsid w:val="00953DF9"/>
    <w:rsid w:val="00983D5A"/>
    <w:rsid w:val="009B05B9"/>
    <w:rsid w:val="009D25C4"/>
    <w:rsid w:val="00A04249"/>
    <w:rsid w:val="00A54B40"/>
    <w:rsid w:val="00AA3120"/>
    <w:rsid w:val="00AD3291"/>
    <w:rsid w:val="00AD3AD6"/>
    <w:rsid w:val="00AD54B7"/>
    <w:rsid w:val="00AD7B9D"/>
    <w:rsid w:val="00B02AA1"/>
    <w:rsid w:val="00B30E14"/>
    <w:rsid w:val="00B33D39"/>
    <w:rsid w:val="00B91272"/>
    <w:rsid w:val="00BA08F9"/>
    <w:rsid w:val="00BD2499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26C29"/>
    <w:rsid w:val="00D448BE"/>
    <w:rsid w:val="00D45115"/>
    <w:rsid w:val="00D4566E"/>
    <w:rsid w:val="00D82C43"/>
    <w:rsid w:val="00DA390E"/>
    <w:rsid w:val="00DA478C"/>
    <w:rsid w:val="00DA7865"/>
    <w:rsid w:val="00DB112A"/>
    <w:rsid w:val="00DB4BE2"/>
    <w:rsid w:val="00DC2BF3"/>
    <w:rsid w:val="00DE7A26"/>
    <w:rsid w:val="00E17061"/>
    <w:rsid w:val="00E5539D"/>
    <w:rsid w:val="00E973A8"/>
    <w:rsid w:val="00EE3CE2"/>
    <w:rsid w:val="00F04123"/>
    <w:rsid w:val="00F147FB"/>
    <w:rsid w:val="00F22439"/>
    <w:rsid w:val="00F33C40"/>
    <w:rsid w:val="00F41208"/>
    <w:rsid w:val="00F56481"/>
    <w:rsid w:val="00FA3398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B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1999.</izvorni_sadrzaj>
    <derivirana_varijabla naziv="DomainObject.Predmet.DatumOsnivanja_1">3.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St-225/1999</izvorni_sadrzaj>
    <derivirana_varijabla naziv="DomainObject.Predmet.OznakaBroj_1">St-225/1999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banka d.d. ˝u stečaju˝</izvorni_sadrzaj>
    <derivirana_varijabla naziv="DomainObject.Predmet.ProtustrankaFormated_1">  Gradska banka d.d. ˝u stečaju˝</derivirana_varijabla>
  </DomainObject.Predmet.ProtustrankaFormated>
  <DomainObject.Predmet.ProtustrankaFormatedOIB>
    <izvorni_sadrzaj>  Gradska banka d.d. ˝u stečaju˝, OIB 38803899962</izvorni_sadrzaj>
    <derivirana_varijabla naziv="DomainObject.Predmet.ProtustrankaFormatedOIB_1">  Gradska banka d.d. ˝u stečaju˝, OIB 38803899962</derivirana_varijabla>
  </DomainObject.Predmet.ProtustrankaFormatedOIB>
  <DomainObject.Predmet.ProtustrankaFormatedWithAdress>
    <izvorni_sadrzaj> Gradska banka d.d. ˝u stečaju˝, Trg Ante Starčevića 7, 31000 Osijek</izvorni_sadrzaj>
    <derivirana_varijabla naziv="DomainObject.Predmet.ProtustrankaFormatedWithAdress_1"> Gradska banka d.d. ˝u stečaju˝, Trg Ante Starčevića 7, 31000 Osijek</derivirana_varijabla>
  </DomainObject.Predmet.ProtustrankaFormatedWithAdress>
  <DomainObject.Predmet.ProtustrankaFormatedWithAdressOIB>
    <izvorni_sadrzaj> Gradska banka d.d. ˝u stečaju˝, OIB 38803899962, Trg Ante Starčevića 7, 31000 Osijek</izvorni_sadrzaj>
    <derivirana_varijabla naziv="DomainObject.Predmet.ProtustrankaFormatedWithAdressOIB_1"> Gradska banka d.d. ˝u stečaju˝, OIB 38803899962, Trg Ante Starčevića 7, 31000 Osijek</derivirana_varijabla>
  </DomainObject.Predmet.ProtustrankaFormatedWithAdressOIB>
  <DomainObject.Predmet.ProtustrankaWithAdress>
    <izvorni_sadrzaj>Gradska banka d.d. ˝u stečaju˝ Trg Ante Starčevića 7, 31000 Osijek</izvorni_sadrzaj>
    <derivirana_varijabla naziv="DomainObject.Predmet.ProtustrankaWithAdress_1">Gradska banka d.d. ˝u stečaju˝ Trg Ante Starčevića 7, 31000 Osijek</derivirana_varijabla>
  </DomainObject.Predmet.ProtustrankaWithAdress>
  <DomainObject.Predmet.ProtustrankaWithAdressOIB>
    <izvorni_sadrzaj>Gradska banka d.d. ˝u stečaju˝, OIB 38803899962, Trg Ante Starčevića 7, 31000 Osijek</izvorni_sadrzaj>
    <derivirana_varijabla naziv="DomainObject.Predmet.ProtustrankaWithAdressOIB_1">Gradska banka d.d. ˝u stečaju˝, OIB 38803899962, Trg Ante Starčevića 7, 31000 Osijek</derivirana_varijabla>
  </DomainObject.Predmet.ProtustrankaWithAdressOIB>
  <DomainObject.Predmet.ProtustrankaNazivFormated>
    <izvorni_sadrzaj>Gradska banka d.d. ˝u stečaju˝</izvorni_sadrzaj>
    <derivirana_varijabla naziv="DomainObject.Predmet.ProtustrankaNazivFormated_1">Gradska banka d.d. ˝u stečaju˝</derivirana_varijabla>
  </DomainObject.Predmet.ProtustrankaNazivFormated>
  <DomainObject.Predmet.ProtustrankaNazivFormatedOIB>
    <izvorni_sadrzaj>Gradska banka d.d. ˝u stečaju˝, OIB 38803899962</izvorni_sadrzaj>
    <derivirana_varijabla naziv="DomainObject.Predmet.ProtustrankaNazivFormatedOIB_1">Gradska banka d.d. ˝u stečaju˝, OIB 38803899962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Gradska banka d.d. ˝u stečaju˝</item>
    </izvorni_sadrzaj>
    <derivirana_varijabla naziv="DomainObject.Predmet.ProtuStrankaListFormated_1">
      <item>Gradska banka d.d. ˝u stečaju˝</item>
    </derivirana_varijabla>
  </DomainObject.Predmet.ProtuStrankaListFormated>
  <DomainObject.Predmet.ProtuStrankaListFormatedOIB>
    <izvorni_sadrzaj>
      <item>Gradska banka d.d. ˝u stečaju˝, OIB 38803899962</item>
    </izvorni_sadrzaj>
    <derivirana_varijabla naziv="DomainObject.Predmet.ProtuStrankaListFormatedOIB_1">
      <item>Gradska banka d.d. ˝u stečaju˝, OIB 38803899962</item>
    </derivirana_varijabla>
  </DomainObject.Predmet.ProtuStrankaListFormatedOIB>
  <DomainObject.Predmet.ProtuStrankaListFormatedWithAdress>
    <izvorni_sadrzaj>
      <item>Gradska banka d.d. ˝u stečaju˝, Trg Ante Starčevića 7, 31000 Osijek</item>
    </izvorni_sadrzaj>
    <derivirana_varijabla naziv="DomainObject.Predmet.ProtuStrankaListFormatedWithAdress_1">
      <item>Gradska banka d.d. ˝u stečaju˝, Trg Ante Starčevića 7, 31000 Osijek</item>
    </derivirana_varijabla>
  </DomainObject.Predmet.ProtuStrankaListFormatedWithAdress>
  <DomainObject.Predmet.ProtuStrankaListFormatedWithAdressOIB>
    <izvorni_sadrzaj>
      <item>Gradska banka d.d. ˝u stečaju˝, OIB 38803899962, Trg Ante Starčevića 7, 31000 Osijek</item>
    </izvorni_sadrzaj>
    <derivirana_varijabla naziv="DomainObject.Predmet.ProtuStrankaListFormatedWithAdressOIB_1">
      <item>Gradska banka d.d. ˝u stečaju˝, OIB 38803899962, Trg Ante Starčevića 7, 31000 Osijek</item>
    </derivirana_varijabla>
  </DomainObject.Predmet.ProtuStrankaListFormatedWithAdressOIB>
  <DomainObject.Predmet.ProtuStrankaListNazivFormated>
    <izvorni_sadrzaj>
      <item>Gradska banka d.d. ˝u stečaju˝</item>
    </izvorni_sadrzaj>
    <derivirana_varijabla naziv="DomainObject.Predmet.ProtuStrankaListNazivFormated_1">
      <item>Gradska banka d.d. ˝u stečaju˝</item>
    </derivirana_varijabla>
  </DomainObject.Predmet.ProtuStrankaListNazivFormated>
  <DomainObject.Predmet.ProtuStrankaListNazivFormatedOIB>
    <izvorni_sadrzaj>
      <item>Gradska banka d.d. ˝u stečaju˝, OIB 38803899962</item>
    </izvorni_sadrzaj>
    <derivirana_varijabla naziv="DomainObject.Predmet.ProtuStrankaListNazivFormatedOIB_1">
      <item>Gradska banka d.d. ˝u stečaju˝, OIB 38803899962</item>
    </derivirana_varijabla>
  </DomainObject.Predmet.ProtuStrankaListNazivFormatedOIB>
  <DomainObject.Predmet.OstaliListFormated>
    <izvorni_sadrzaj>
      <item>Perica Mitrović</item>
    </izvorni_sadrzaj>
    <derivirana_varijabla naziv="DomainObject.Predmet.OstaliListFormated_1">
      <item>Perica Mitrović</item>
    </derivirana_varijabla>
  </DomainObject.Predmet.OstaliListFormated>
  <DomainObject.Predmet.OstaliListFormatedOIB>
    <izvorni_sadrzaj>
      <item>Perica Mitrović, OIB 29538074286</item>
    </izvorni_sadrzaj>
    <derivirana_varijabla naziv="DomainObject.Predmet.OstaliListFormatedOIB_1">
      <item>Perica Mitrović, OIB 29538074286</item>
    </derivirana_varijabla>
  </DomainObject.Predmet.OstaliListFormatedOIB>
  <DomainObject.Predmet.OstaliListFormatedWithAdress>
    <izvorni_sadrzaj>
      <item>Perica Mitrović, Bjelolasička 23, 31000 Osijek</item>
    </izvorni_sadrzaj>
    <derivirana_varijabla naziv="DomainObject.Predmet.OstaliListFormatedWithAdress_1">
      <item>Perica Mitrović, Bjelolasička 23, 31000 Osijek</item>
    </derivirana_varijabla>
  </DomainObject.Predmet.OstaliListFormatedWithAdress>
  <DomainObject.Predmet.OstaliListFormatedWithAdressOIB>
    <izvorni_sadrzaj>
      <item>Perica Mitrović, OIB 29538074286, Bjelolasička 23, 31000 Osijek</item>
    </izvorni_sadrzaj>
    <derivirana_varijabla naziv="DomainObject.Predmet.OstaliListFormatedWithAdressOIB_1">
      <item>Perica Mitrović, OIB 29538074286, Bjelolasička 23, 31000 Osijek</item>
    </derivirana_varijabla>
  </DomainObject.Predmet.OstaliListFormatedWithAdressOIB>
  <DomainObject.Predmet.OstaliListNazivFormated>
    <izvorni_sadrzaj>
      <item>Perica Mitrović</item>
    </izvorni_sadrzaj>
    <derivirana_varijabla naziv="DomainObject.Predmet.OstaliListNazivFormated_1">
      <item>Perica Mitrović</item>
    </derivirana_varijabla>
  </DomainObject.Predmet.OstaliListNazivFormated>
  <DomainObject.Predmet.OstaliListNazivFormatedOIB>
    <izvorni_sadrzaj>
      <item>Perica Mitrović, OIB 29538074286</item>
    </izvorni_sadrzaj>
    <derivirana_varijabla naziv="DomainObject.Predmet.OstaliListNazivFormatedOIB_1"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Gradska banka d.d. ˝u stečaju˝</izvorni_sadrzaj>
    <derivirana_varijabla naziv="DomainObject.Predmet.ProtustrankaIDrugi_1">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Gradska banka d.d. ˝u stečaju˝, OIB 38803899962, Trg Ante Starčevića 7, 31000 Osijek</izvorni_sadrzaj>
    <derivirana_varijabla naziv="DomainObject.Predmet.ProtustrankaIDrugiAdressOIB_1">Gradska banka d.d. ˝u stečaju˝, OIB 38803899962,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Gradska banka d.d. ˝u stečaju˝</item>
      <item>Perica Mitrović</item>
    </izvorni_sadrzaj>
    <derivirana_varijabla naziv="DomainObject.Predmet.SudioniciListNaziv_1">
      <item>HRVATSKA NARODNA BANKA</item>
      <item>Gradska banka d.d. ˝u stečaju˝</item>
      <item>Perica Mitrović</item>
    </derivirana_varijabla>
  </DomainObject.Predmet.SudioniciListNaziv>
  <DomainObject.Predmet.SudioniciListAdressOIB>
    <izvorni_sadrzaj>
      <item>HRVATSKA NARODNA BANKA, 10000 Zagreb</item>
      <item>Gradska banka d.d. ˝u stečaju˝, OIB 38803899962, Trg Ante Starčevića 7,31000 Osijek</item>
      <item>Perica Mitrović, OIB 29538074286, Bjelolasička 23,31000 Osijek</item>
    </izvorni_sadrzaj>
    <derivirana_varijabla naziv="DomainObject.Predmet.SudioniciListAdressOIB_1">
      <item>HRVATSKA NARODNA BANKA, 10000 Zagreb</item>
      <item>Gradska banka d.d. ˝u stečaju˝, OIB 38803899962, Trg Ante Starčevića 7,31000 Osijek</item>
      <item>Perica Mitrović, OIB 29538074286, Bjelolasička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38803899962</item>
      <item>, OIB 29538074286</item>
    </izvorni_sadrzaj>
    <derivirana_varijabla naziv="DomainObject.Predmet.SudioniciListNazivOIB_1">
      <item>, OIB null</item>
      <item>, OIB 38803899962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</item>
    </izvorni_sadrzaj>
    <derivirana_varijabla naziv="DomainObject.Predmet.StecajniUpraviteljiListAddressOIB_1">
      <item>PERICA MITROVIĆ, OIB 29538074286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0E296-7A3C-4F9F-8E69-8E8839BD4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469</properties:Words>
  <properties:Characters>2478</properties:Characters>
  <properties:Lines>81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2015-11-17T10:45:00Z</dcterms:created>
  <dc:creator>RH-TDU</dc:creator>
  <cp:lastModifiedBy>Ivanka Lukač</cp:lastModifiedBy>
  <cp:lastPrinted>2015-11-17T10:51:00Z</cp:lastPrinted>
  <dcterms:modified xmlns:xsi="http://www.w3.org/2001/XMLSchema-instance" xsi:type="dcterms:W3CDTF">2015-11-17T10:56:00Z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