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8ba1" w14:paraId="2b38ba1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</w:t>
      </w:r>
      <w:r w:rsidR="00C34B8E">
        <w:rPr>
          <w:rFonts w:hAnsi="Times New Roman" w:ascii="Times New Roman"/>
          <w:szCs w:val="24"/>
          <w:lang w:val="hr-HR"/>
        </w:rPr>
        <w:t xml:space="preserve">stečajnim dužnikom </w:t>
      </w:r>
      <w:r w:rsidR="00E662F3" w:rsidRPr="00E662F3">
        <w:rPr>
          <w:rFonts w:hAnsi="Times New Roman" w:ascii="Times New Roman"/>
          <w:szCs w:val="24"/>
          <w:lang w:val="hr-HR"/>
        </w:rPr>
        <w:t>CONSULE d.o.o. za trgovinu - u stečaju, Strmec (Grad Zagreb), Doktora Franje Tuđmana 8, OIB:56832353734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42434F">
        <w:rPr>
          <w:rFonts w:hAnsi="Times New Roman" w:ascii="Times New Roman"/>
          <w:szCs w:val="24"/>
          <w:lang w:val="hr-HR"/>
        </w:rPr>
        <w:t>26. srpnja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r w:rsidR="00C216E8">
        <w:rPr>
          <w:rFonts w:hAnsi="Times New Roman" w:ascii="Times New Roman"/>
          <w:szCs w:val="24"/>
          <w:lang w:val="hr-HR"/>
        </w:rPr>
        <w:t>2017</w:t>
      </w:r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>
      <w:pPr>
        <w:jc w:val="both"/>
        <w:rPr>
          <w:rFonts w:hAnsi="Times New Roman" w:ascii="Times New Roman"/>
          <w:szCs w:val="24"/>
          <w:lang w:val="hr-HR"/>
        </w:rPr>
      </w:pPr>
    </w:p>
    <w:p w:rsidRDefault="0042434F" w:rsidP="0042434F" w:rsidR="0042434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suda poslovni broj St-1246/12 od 14. srpnja 2017. godine.</w:t>
      </w:r>
    </w:p>
    <w:p w:rsidRDefault="0042434F" w:rsidP="0042434F" w:rsidR="0042434F" w:rsidRPr="0042434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Određuje se stečajnom upravitelju Nikoli Jakir, Zagreb, Vojina Bakića 10, OIB 35440503043, za unovčenu stečajnu masu stečajnog dužnika </w:t>
      </w:r>
      <w:r w:rsidRPr="00E662F3">
        <w:rPr>
          <w:rFonts w:hAnsi="Times New Roman" w:ascii="Times New Roman"/>
          <w:szCs w:val="24"/>
          <w:lang w:val="hr-HR"/>
        </w:rPr>
        <w:t>CONSULE d.o.o. za trgovinu - u stečaju, Strmec (Grad Zagreb), Doktora Franje Tuđmana 8, OIB:56832353734</w:t>
      </w:r>
      <w:r>
        <w:rPr>
          <w:rFonts w:hAnsi="Times New Roman" w:ascii="Times New Roman"/>
          <w:szCs w:val="24"/>
          <w:lang w:val="hr-HR"/>
        </w:rPr>
        <w:t>, u vrijednosti od 11.090.477,00 kn, konačna ukupna nagrada za cjelokupni rad u stečajnom postupku u iznosu od 630.000,00 kn bruto, s tim da se svi do sada odobreni iznosi predujmova nagrade uračunavaju u navedeni bruto iznos konačne nagrade.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CB410F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42434F">
        <w:rPr>
          <w:rFonts w:hAnsi="Times New Roman" w:ascii="Times New Roman"/>
          <w:szCs w:val="24"/>
          <w:lang w:val="hr-HR"/>
        </w:rPr>
        <w:t xml:space="preserve">, stečajni upravitelj je unovčio cjelokupnu imovinu stečajnog dužnika u vrijednosti od 11.090.477,00 </w:t>
      </w:r>
      <w:r w:rsidR="00CB410F">
        <w:rPr>
          <w:rFonts w:hAnsi="Times New Roman" w:ascii="Times New Roman"/>
          <w:szCs w:val="24"/>
          <w:lang w:val="hr-HR"/>
        </w:rPr>
        <w:t>kn.</w:t>
      </w:r>
    </w:p>
    <w:p w:rsidRDefault="0042434F" w:rsidP="00F12954" w:rsidR="004243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Tijekom stečajnog postupka koji je otvoren 29. siječnja 2013. godine, stečajnom upravitelju su na njegov zahtjev odobravani djelomični predujmovi nagrade, sve nakon unovčenja pojedinih dijelova stečajne mase stečajnog dužnika.</w:t>
      </w:r>
    </w:p>
    <w:p w:rsidRDefault="0042434F" w:rsidP="00F12954" w:rsidR="004243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Nakon cjelokupnog unovčenja stečajne mase, stečeni su uvjeti za donošenje konačne nagrade stečajnom upravitelju. Omaškom je ista rješenjem od 14. srpnja 2017. godine navedena u iznosu od 342.900,00 kn bruto, s navođenjem u obrazloženju stečajne mase od 4.000.000,00 kn, što je pogrešno. Stoga se to rješenje stavlja izvan snage, jer je sveukupno unovčena stečajna masa ovog stečajnog dužnika u iznosu od 11.090.477,00 kn.</w:t>
      </w:r>
    </w:p>
    <w:p w:rsidRDefault="0042434F" w:rsidP="00F12954" w:rsidR="004243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navedenu vrijednost ukupno unovčene stečajne mase, sukladno odredbi čl. 7. </w:t>
      </w:r>
      <w:r w:rsidR="00CB410F">
        <w:rPr>
          <w:rFonts w:hAnsi="Times New Roman" w:ascii="Times New Roman"/>
          <w:szCs w:val="24"/>
          <w:lang w:val="hr-HR"/>
        </w:rPr>
        <w:t>Uredbe o kriterijima i načinu obračuna plaćanja nagrada stečajnim upraviteljima (NN 105/15, dalje Uredba 105/15),</w:t>
      </w:r>
      <w:r>
        <w:rPr>
          <w:rFonts w:hAnsi="Times New Roman" w:ascii="Times New Roman"/>
          <w:szCs w:val="24"/>
          <w:lang w:val="hr-HR"/>
        </w:rPr>
        <w:t xml:space="preserve"> stečajni upravitelj ima pravo na nagradu od 734.000,00 kn bruto, međutim sukladno odredbi čl. 6. navedene Uredbe, najviša nagrada stečajnim upraviteljima s osnove vrijednosti unovčene stečajne mase može iznositi maksimalno 630.000,00 kn bruto.</w:t>
      </w:r>
    </w:p>
    <w:p w:rsidRDefault="0042434F" w:rsidP="00F12954" w:rsidR="004243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Stoga je odlučeno kao u izreci ovog rješenja pozivom na odredbu čl. 6. i 7. Uredbe 105/15 te članka 18., 76. i 94. Stečajnog zakona (NN 71/15).</w:t>
      </w:r>
    </w:p>
    <w:p w:rsidRDefault="00C339DD" w:rsidP="00F12954" w:rsidR="00C339DD" w:rsidRPr="00F129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Sukladno odredbi čl. 16. Uredbe 105/15, sve dosadašnje odobrene djelomične nagrade, stečajni upravitelj treba uračunati u konačni iznos bruto nagrade od 630.000,00 kn bruto.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C339DD">
        <w:rPr>
          <w:rFonts w:hAnsi="Times New Roman" w:ascii="Times New Roman"/>
          <w:szCs w:val="24"/>
          <w:lang w:val="hr-HR"/>
        </w:rPr>
        <w:t>26. srpnja</w:t>
      </w:r>
      <w:r w:rsidR="00C216E8">
        <w:rPr>
          <w:rFonts w:hAnsi="Times New Roman" w:ascii="Times New Roman"/>
          <w:szCs w:val="24"/>
          <w:lang w:val="hr-HR"/>
        </w:rPr>
        <w:t xml:space="preserve"> 2017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CB410F" w:rsidP="00270CB9" w:rsidR="00CB410F" w:rsidRPr="00270CB9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5754A7">
        <w:rPr>
          <w:rFonts w:hAnsi="Times New Roman" w:ascii="Times New Roman"/>
          <w:szCs w:val="24"/>
          <w:lang w:val="hr-HR"/>
        </w:rPr>
        <w:t xml:space="preserve"> v.r.</w:t>
      </w:r>
    </w:p>
    <w:p w:rsidRDefault="00CB410F" w:rsidP="005D250C" w:rsidR="00CB410F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54A7" w:rsidP="00E24FF3" w:rsidR="005754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754A7" w:rsidP="005754A7" w:rsidR="00746943">
      <w:pPr>
        <w:ind w:firstLine="720"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5754A7" w:rsidP="005754A7" w:rsidR="005754A7" w:rsidRPr="00F1295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Ivana Stampf</w:t>
      </w:r>
    </w:p>
    <w:sectPr w:rsidSect="00E67CCB" w:rsidR="005754A7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E662F3">
      <w:rPr>
        <w:rFonts w:hAnsi="Times New Roman" w:ascii="Times New Roman"/>
        <w:lang w:val="hr-HR"/>
      </w:rPr>
      <w:t>1246/12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A51DA"/>
    <w:multiLevelType w:val="hybridMultilevel"/>
    <w:tmpl w:val="F2A8DD50"/>
    <w:lvl w:tplc="47DE7F8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017074"/>
    <w:multiLevelType w:val="hybridMultilevel"/>
    <w:tmpl w:val="8822EEA6"/>
    <w:lvl w:tplc="A09CFC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3585"/>
    <w:rsid w:val="000B7823"/>
    <w:rsid w:val="000F081D"/>
    <w:rsid w:val="0014087A"/>
    <w:rsid w:val="0016495D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2434F"/>
    <w:rsid w:val="004471F6"/>
    <w:rsid w:val="00452661"/>
    <w:rsid w:val="004A4BFC"/>
    <w:rsid w:val="004C7B81"/>
    <w:rsid w:val="00512069"/>
    <w:rsid w:val="005754A7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A5D0D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1693E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339DD"/>
    <w:rsid w:val="00C34B8E"/>
    <w:rsid w:val="00C418F3"/>
    <w:rsid w:val="00C573E2"/>
    <w:rsid w:val="00C61B5E"/>
    <w:rsid w:val="00C96788"/>
    <w:rsid w:val="00CB410F"/>
    <w:rsid w:val="00D1273B"/>
    <w:rsid w:val="00D621BD"/>
    <w:rsid w:val="00D750E5"/>
    <w:rsid w:val="00D92020"/>
    <w:rsid w:val="00E13F54"/>
    <w:rsid w:val="00E246C5"/>
    <w:rsid w:val="00E24FF3"/>
    <w:rsid w:val="00E44360"/>
    <w:rsid w:val="00E662F3"/>
    <w:rsid w:val="00E67CCB"/>
    <w:rsid w:val="00EB08F0"/>
    <w:rsid w:val="00ED3714"/>
    <w:rsid w:val="00EE2FEB"/>
    <w:rsid w:val="00F12954"/>
    <w:rsid w:val="00F1376A"/>
    <w:rsid w:val="00F14254"/>
    <w:rsid w:val="00F32F07"/>
    <w:rsid w:val="00F74262"/>
    <w:rsid w:val="00FA54E3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5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4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4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4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4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5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4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4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4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4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42666-E7F0-4016-8D06-9B328DF6D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432</properties:Words>
  <properties:Characters>2335</properties:Characters>
  <properties:Lines>57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2017-07-26T09:14:00Z</dcterms:created>
  <dc:creator>Sudsko vijeće</dc:creator>
  <cp:lastModifiedBy>Monika Grbac</cp:lastModifiedBy>
  <cp:lastPrinted>2017-07-26T09:13:00Z</cp:lastPrinted>
  <dcterms:modified xmlns:xsi="http://www.w3.org/2001/XMLSchema-instance" xsi:type="dcterms:W3CDTF">2017-07-26T09:24:00Z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