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29f8" w14:paraId="e6a29f8" w:rsidRDefault="007E5A82" w:rsidP="007E5A82" w:rsidR="007E5A82" w:rsidRPr="0083421E">
      <w:pPr>
        <w15:collapsed w:val="false"/>
        <w:rPr>
          <w:noProof/>
          <w:sz w:val="22"/>
          <w:szCs w:val="22"/>
        </w:rPr>
      </w:pPr>
      <w:bookmarkStart w:name="_GoBack" w:id="0"/>
      <w:bookmarkEnd w:id="0"/>
      <w:r w:rsidRPr="0083421E">
        <w:rPr>
          <w:noProof/>
          <w:sz w:val="22"/>
          <w:szCs w:val="22"/>
        </w:rPr>
        <w:drawing>
          <wp:inline distR="0" distL="0" distB="0" distT="0">
            <wp:extent cy="704850" cx="5334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4850" cx="533400"/>
                    </a:xfrm>
                    <a:prstGeom prst="rect">
                      <a:avLst/>
                    </a:prstGeom>
                    <a:noFill/>
                    <a:ln>
                      <a:noFill/>
                    </a:ln>
                  </pic:spPr>
                </pic:pic>
              </a:graphicData>
            </a:graphic>
          </wp:inline>
        </w:drawing>
      </w:r>
    </w:p>
    <w:p w:rsidRDefault="007E5A82" w:rsidP="007E5A82" w:rsidR="007E5A82" w:rsidRPr="0083421E">
      <w:pPr>
        <w:rPr>
          <w:sz w:val="22"/>
          <w:szCs w:val="22"/>
        </w:rPr>
      </w:pPr>
      <w:r w:rsidRPr="0083421E">
        <w:rPr>
          <w:sz w:val="22"/>
          <w:szCs w:val="22"/>
        </w:rPr>
        <w:t xml:space="preserve">       REPUBLIKA HRVATSKA</w:t>
      </w:r>
    </w:p>
    <w:p w:rsidRDefault="007E5A82" w:rsidP="007E5A82" w:rsidR="007E5A82" w:rsidRPr="0083421E">
      <w:pPr>
        <w:rPr>
          <w:sz w:val="22"/>
          <w:szCs w:val="22"/>
        </w:rPr>
      </w:pPr>
      <w:r w:rsidRPr="0083421E">
        <w:rPr>
          <w:sz w:val="22"/>
          <w:szCs w:val="22"/>
        </w:rPr>
        <w:t>TRGOVAČKI SUD U ZAGREBU</w:t>
      </w:r>
    </w:p>
    <w:p w:rsidRDefault="007E5A82" w:rsidP="007E5A82" w:rsidR="007E5A82" w:rsidRPr="0083421E">
      <w:pPr>
        <w:rPr>
          <w:sz w:val="22"/>
          <w:szCs w:val="22"/>
        </w:rPr>
      </w:pPr>
      <w:r w:rsidRPr="0083421E">
        <w:rPr>
          <w:sz w:val="22"/>
          <w:szCs w:val="22"/>
        </w:rPr>
        <w:t xml:space="preserve">         Zag</w:t>
      </w:r>
      <w:r w:rsidR="0083421E" w:rsidRPr="0083421E">
        <w:rPr>
          <w:sz w:val="22"/>
          <w:szCs w:val="22"/>
        </w:rPr>
        <w:t xml:space="preserve">reb, </w:t>
      </w:r>
      <w:proofErr w:type="spellStart"/>
      <w:r w:rsidR="0083421E" w:rsidRPr="0083421E">
        <w:rPr>
          <w:sz w:val="22"/>
          <w:szCs w:val="22"/>
        </w:rPr>
        <w:t>Amruševa</w:t>
      </w:r>
      <w:proofErr w:type="spellEnd"/>
      <w:r w:rsidR="0083421E" w:rsidRPr="0083421E">
        <w:rPr>
          <w:sz w:val="22"/>
          <w:szCs w:val="22"/>
        </w:rPr>
        <w:t xml:space="preserve"> 2/II</w:t>
      </w:r>
      <w:r w:rsidR="0083421E" w:rsidRPr="0083421E">
        <w:rPr>
          <w:sz w:val="22"/>
          <w:szCs w:val="22"/>
        </w:rPr>
        <w:tab/>
      </w:r>
      <w:r w:rsidR="0083421E" w:rsidRPr="0083421E">
        <w:rPr>
          <w:sz w:val="22"/>
          <w:szCs w:val="22"/>
        </w:rPr>
        <w:tab/>
      </w:r>
      <w:r w:rsidR="0083421E" w:rsidRPr="0083421E">
        <w:rPr>
          <w:sz w:val="22"/>
          <w:szCs w:val="22"/>
        </w:rPr>
        <w:tab/>
      </w:r>
      <w:r w:rsidR="0083421E" w:rsidRPr="0083421E">
        <w:rPr>
          <w:sz w:val="22"/>
          <w:szCs w:val="22"/>
        </w:rPr>
        <w:tab/>
      </w:r>
      <w:r w:rsidR="0083421E" w:rsidRPr="0083421E">
        <w:rPr>
          <w:sz w:val="22"/>
          <w:szCs w:val="22"/>
        </w:rPr>
        <w:tab/>
      </w:r>
      <w:r w:rsidR="0083421E" w:rsidRPr="0083421E">
        <w:rPr>
          <w:sz w:val="22"/>
          <w:szCs w:val="22"/>
        </w:rPr>
        <w:tab/>
      </w:r>
      <w:r w:rsidR="0083421E" w:rsidRPr="0083421E">
        <w:rPr>
          <w:sz w:val="22"/>
          <w:szCs w:val="22"/>
        </w:rPr>
        <w:tab/>
        <w:t xml:space="preserve"> </w:t>
      </w:r>
      <w:r w:rsidRPr="0083421E">
        <w:rPr>
          <w:sz w:val="22"/>
          <w:szCs w:val="22"/>
        </w:rPr>
        <w:t xml:space="preserve">42 St-7946/2015  </w:t>
      </w:r>
    </w:p>
    <w:p w:rsidRDefault="007E5A82" w:rsidP="007E5A82" w:rsidR="007E5A82" w:rsidRPr="0083421E">
      <w:pPr>
        <w:rPr>
          <w:sz w:val="22"/>
          <w:szCs w:val="22"/>
        </w:rPr>
      </w:pPr>
    </w:p>
    <w:p w:rsidRDefault="007E5A82" w:rsidP="007E5A82" w:rsidR="007E5A82" w:rsidRPr="0083421E">
      <w:pPr>
        <w:jc w:val="center"/>
        <w:rPr>
          <w:sz w:val="22"/>
          <w:szCs w:val="22"/>
        </w:rPr>
      </w:pPr>
      <w:r w:rsidRPr="0083421E">
        <w:rPr>
          <w:sz w:val="22"/>
          <w:szCs w:val="22"/>
        </w:rPr>
        <w:t>U  I M E  R E P U B L I K E  H R V A T S K E</w:t>
      </w:r>
    </w:p>
    <w:p w:rsidRDefault="007E5A82" w:rsidP="007E5A82" w:rsidR="007E5A82" w:rsidRPr="0083421E">
      <w:pPr>
        <w:jc w:val="center"/>
        <w:rPr>
          <w:sz w:val="22"/>
          <w:szCs w:val="22"/>
        </w:rPr>
      </w:pPr>
    </w:p>
    <w:p w:rsidRDefault="007E5A82" w:rsidP="007E5A82" w:rsidR="007E5A82" w:rsidRPr="0083421E">
      <w:pPr>
        <w:jc w:val="center"/>
        <w:rPr>
          <w:sz w:val="22"/>
          <w:szCs w:val="22"/>
        </w:rPr>
      </w:pPr>
      <w:r w:rsidRPr="0083421E">
        <w:rPr>
          <w:sz w:val="22"/>
          <w:szCs w:val="22"/>
        </w:rPr>
        <w:t>R J E Š E N J E</w:t>
      </w:r>
    </w:p>
    <w:p w:rsidRDefault="007E5A82" w:rsidP="007E5A82" w:rsidR="007E5A82" w:rsidRPr="0083421E">
      <w:pPr>
        <w:jc w:val="center"/>
        <w:rPr>
          <w:sz w:val="22"/>
          <w:szCs w:val="22"/>
        </w:rPr>
      </w:pPr>
    </w:p>
    <w:p w:rsidRDefault="007E5A82" w:rsidP="007E5A82" w:rsidR="007E5A82" w:rsidRPr="0083421E">
      <w:pPr>
        <w:jc w:val="both"/>
        <w:rPr>
          <w:sz w:val="22"/>
          <w:szCs w:val="22"/>
        </w:rPr>
      </w:pPr>
      <w:r w:rsidRPr="0083421E">
        <w:rPr>
          <w:sz w:val="22"/>
          <w:szCs w:val="22"/>
        </w:rPr>
        <w:tab/>
        <w:t xml:space="preserve">TRGOVAČKI SUD U ZAGREBU po sucu toga suda  Hrvoju Lukšiću, u stečajnom predmetu povodom zahtjeva FINANCIJSKE AGENCIJE, za provedbu skraćenog stečajnog postupka nad dužnikom AETHERA CANDELA d.o.o., Zagreb, Gornji Bukovac 37, OIB 64532775737, dana 23. ožujka 2016.g. </w:t>
      </w:r>
    </w:p>
    <w:p w:rsidRDefault="007E5A82" w:rsidP="007E5A82" w:rsidR="007E5A82" w:rsidRPr="0083421E">
      <w:pPr>
        <w:jc w:val="center"/>
        <w:rPr>
          <w:sz w:val="22"/>
          <w:szCs w:val="22"/>
        </w:rPr>
      </w:pPr>
      <w:r w:rsidRPr="0083421E">
        <w:rPr>
          <w:sz w:val="22"/>
          <w:szCs w:val="22"/>
        </w:rPr>
        <w:t>r i j e š i o  j e</w:t>
      </w:r>
    </w:p>
    <w:p w:rsidRDefault="007E5A82" w:rsidP="007E5A82" w:rsidR="007E5A82" w:rsidRPr="0083421E">
      <w:pPr>
        <w:jc w:val="center"/>
        <w:rPr>
          <w:sz w:val="22"/>
          <w:szCs w:val="22"/>
        </w:rPr>
      </w:pPr>
    </w:p>
    <w:p w:rsidRDefault="007E5A82" w:rsidP="007E5A82" w:rsidR="007E5A82" w:rsidRPr="0083421E">
      <w:pPr>
        <w:ind w:firstLine="708" w:right="-2"/>
        <w:jc w:val="both"/>
        <w:rPr>
          <w:sz w:val="22"/>
          <w:szCs w:val="22"/>
        </w:rPr>
      </w:pPr>
      <w:r w:rsidRPr="0083421E">
        <w:rPr>
          <w:sz w:val="22"/>
          <w:szCs w:val="22"/>
        </w:rPr>
        <w:t>Odbacuje se prijedlog predlagatelja Financijske agencije, RC Zagreb, Podružnica Zagreb, Trg svibanjskih žrtava 1995. 1, OIB 85821130368, za otvaranje stečajnog postupka nad dužnikom AETHERA CANDELA d.o.o., Zagreb, Gornji Bukovac 37, OIB 64532775737.</w:t>
      </w:r>
    </w:p>
    <w:p w:rsidRDefault="007E5A82" w:rsidP="007E5A82" w:rsidR="007E5A82" w:rsidRPr="0083421E">
      <w:pPr>
        <w:ind w:firstLine="708" w:right="-2"/>
        <w:jc w:val="both"/>
        <w:rPr>
          <w:sz w:val="22"/>
          <w:szCs w:val="22"/>
        </w:rPr>
      </w:pPr>
    </w:p>
    <w:p w:rsidRDefault="007E5A82" w:rsidP="007E5A82" w:rsidR="007E5A82" w:rsidRPr="0083421E">
      <w:pPr>
        <w:jc w:val="center"/>
        <w:rPr>
          <w:sz w:val="22"/>
          <w:szCs w:val="22"/>
        </w:rPr>
      </w:pPr>
      <w:r w:rsidRPr="0083421E">
        <w:rPr>
          <w:sz w:val="22"/>
          <w:szCs w:val="22"/>
        </w:rPr>
        <w:t>Obrazloženje</w:t>
      </w:r>
    </w:p>
    <w:p w:rsidRDefault="007E5A82" w:rsidP="007E5A82" w:rsidR="007E5A82" w:rsidRPr="0083421E">
      <w:pPr>
        <w:jc w:val="center"/>
        <w:rPr>
          <w:sz w:val="22"/>
          <w:szCs w:val="22"/>
        </w:rPr>
      </w:pPr>
    </w:p>
    <w:p w:rsidRDefault="007E5A82" w:rsidP="007E5A82" w:rsidR="007E5A82" w:rsidRPr="0083421E">
      <w:pPr>
        <w:jc w:val="both"/>
        <w:rPr>
          <w:sz w:val="22"/>
          <w:szCs w:val="22"/>
        </w:rPr>
      </w:pPr>
      <w:r w:rsidRPr="0083421E">
        <w:rPr>
          <w:sz w:val="22"/>
          <w:szCs w:val="22"/>
        </w:rPr>
        <w:tab/>
        <w:t xml:space="preserve">Dana 08. prosinca 2015. g. Financijska agencija (dalje: FINA) podnijela  je prijedlog za pokretanje stečajnog postupka nad trgovačkim društvom AETHERA CANDELA d.o.o., Zagreb, Gornji Bukovac 37, OIB 64532775737. </w:t>
      </w:r>
    </w:p>
    <w:p w:rsidRDefault="007E5A82" w:rsidP="007E5A82" w:rsidR="007E5A82" w:rsidRPr="0083421E">
      <w:pPr>
        <w:ind w:firstLine="708"/>
        <w:jc w:val="both"/>
        <w:rPr>
          <w:sz w:val="22"/>
          <w:szCs w:val="22"/>
        </w:rPr>
      </w:pPr>
      <w:r w:rsidRPr="0083421E">
        <w:rPr>
          <w:sz w:val="22"/>
          <w:szCs w:val="22"/>
        </w:rPr>
        <w:t>Oglasom od dana 29.siječnja 2016 godine pozvane su osobe  ovlaštene za zastupanje dužnika po zakonu u roku 15 dana od dana objave oglasa, pozivom na gornji broj spisa, podnijeti sudu javnobilježnički ovjerovljen popis imovine i obveza na propisanom obrascu, te  vjerovnici dužnika najkasnije u roku od 45 dana od dana objave ovog oglasa, pozivom na gornji broj spisa, predložiti otvaranje stečajnog postupka, te po pozivu suda predujmiti sredstva za namirenje troškova postupka.</w:t>
      </w:r>
    </w:p>
    <w:p w:rsidRDefault="007E5A82" w:rsidP="007E5A82" w:rsidR="007E5A82" w:rsidRPr="0083421E">
      <w:pPr>
        <w:ind w:firstLine="708"/>
        <w:jc w:val="both"/>
        <w:rPr>
          <w:sz w:val="22"/>
          <w:szCs w:val="22"/>
        </w:rPr>
      </w:pPr>
      <w:r w:rsidRPr="0083421E">
        <w:rPr>
          <w:sz w:val="22"/>
          <w:szCs w:val="22"/>
        </w:rPr>
        <w:t>Podneskom od dana 19.02.2016. godine dužnik je dostavio očitovanje, te dostavio Potvrdu FINE od dana 17.02.2016. godine iz koje je vidljivo da naznačeno trgovačkog društvo nema nepodmirenih osnova za plaćanje evidentiranih u Očevidniku o redoslijedu plaćanja, te popis dugotrajne imovine na dan 31.12.2016. godine, iz koje je vidljivo da dužnik ima imovinu kojoj je nabavna vrijednost bila 179.430,86 kn.</w:t>
      </w:r>
    </w:p>
    <w:p w:rsidRDefault="007E5A82" w:rsidP="007E5A82" w:rsidR="007E5A82" w:rsidRPr="0083421E">
      <w:pPr>
        <w:ind w:firstLine="708"/>
        <w:jc w:val="both"/>
        <w:rPr>
          <w:sz w:val="22"/>
          <w:szCs w:val="22"/>
        </w:rPr>
      </w:pPr>
      <w:r w:rsidRPr="0083421E">
        <w:rPr>
          <w:sz w:val="22"/>
          <w:szCs w:val="22"/>
        </w:rPr>
        <w:t>Slijedom navedenog, odlučujući o prijedlogu predlagatelja, valjalo je prijedlog odbaciti temeljem odredbe čl. 115 st. 2 Stečajnog zakona.</w:t>
      </w:r>
    </w:p>
    <w:p w:rsidRDefault="007E5A82" w:rsidP="007E5A82" w:rsidR="007E5A82" w:rsidRPr="0083421E">
      <w:pPr>
        <w:ind w:firstLine="708"/>
        <w:jc w:val="both"/>
        <w:rPr>
          <w:sz w:val="22"/>
          <w:szCs w:val="22"/>
        </w:rPr>
      </w:pPr>
    </w:p>
    <w:p w:rsidRDefault="007E5A82" w:rsidP="007E5A82" w:rsidR="007E5A82" w:rsidRPr="0083421E">
      <w:pPr>
        <w:jc w:val="center"/>
        <w:rPr>
          <w:sz w:val="22"/>
          <w:szCs w:val="22"/>
        </w:rPr>
      </w:pPr>
      <w:r w:rsidRPr="0083421E">
        <w:rPr>
          <w:sz w:val="22"/>
          <w:szCs w:val="22"/>
        </w:rPr>
        <w:t xml:space="preserve">U Zagrebu, 23. ožujka 2016.g. </w:t>
      </w:r>
    </w:p>
    <w:p w:rsidRDefault="007E5A82" w:rsidP="007E5A82" w:rsidR="007E5A82" w:rsidRPr="0083421E">
      <w:pPr>
        <w:jc w:val="both"/>
        <w:rPr>
          <w:sz w:val="22"/>
          <w:szCs w:val="22"/>
          <w:lang w:val="pl-PL"/>
        </w:rPr>
      </w:pPr>
      <w:r w:rsidRPr="0083421E">
        <w:rPr>
          <w:sz w:val="22"/>
          <w:szCs w:val="22"/>
        </w:rPr>
        <w:tab/>
      </w:r>
      <w:r w:rsidRPr="0083421E">
        <w:rPr>
          <w:sz w:val="22"/>
          <w:szCs w:val="22"/>
        </w:rPr>
        <w:tab/>
      </w:r>
      <w:r w:rsidRPr="0083421E">
        <w:rPr>
          <w:sz w:val="22"/>
          <w:szCs w:val="22"/>
        </w:rPr>
        <w:tab/>
      </w:r>
      <w:r w:rsidRPr="0083421E">
        <w:rPr>
          <w:sz w:val="22"/>
          <w:szCs w:val="22"/>
        </w:rPr>
        <w:tab/>
      </w:r>
      <w:r w:rsidRPr="0083421E">
        <w:rPr>
          <w:sz w:val="22"/>
          <w:szCs w:val="22"/>
        </w:rPr>
        <w:tab/>
      </w:r>
      <w:r w:rsidRPr="0083421E">
        <w:rPr>
          <w:sz w:val="22"/>
          <w:szCs w:val="22"/>
        </w:rPr>
        <w:tab/>
      </w:r>
      <w:r w:rsidRPr="0083421E">
        <w:rPr>
          <w:sz w:val="22"/>
          <w:szCs w:val="22"/>
        </w:rPr>
        <w:tab/>
      </w:r>
      <w:r w:rsidRPr="0083421E">
        <w:rPr>
          <w:sz w:val="22"/>
          <w:szCs w:val="22"/>
        </w:rPr>
        <w:tab/>
      </w:r>
      <w:r w:rsidRPr="0083421E">
        <w:rPr>
          <w:sz w:val="22"/>
          <w:szCs w:val="22"/>
        </w:rPr>
        <w:tab/>
      </w:r>
      <w:r w:rsidRPr="0083421E">
        <w:rPr>
          <w:sz w:val="22"/>
          <w:szCs w:val="22"/>
          <w:lang w:val="pl-PL"/>
        </w:rPr>
        <w:t>SUDAC:</w:t>
      </w:r>
    </w:p>
    <w:p w:rsidRDefault="007E5A82" w:rsidP="007E5A82" w:rsidR="007E5A82" w:rsidRPr="0083421E">
      <w:pPr>
        <w:jc w:val="both"/>
        <w:rPr>
          <w:sz w:val="22"/>
          <w:szCs w:val="22"/>
          <w:lang w:val="pl-PL"/>
        </w:rPr>
      </w:pPr>
      <w:r w:rsidRPr="0083421E">
        <w:rPr>
          <w:sz w:val="22"/>
          <w:szCs w:val="22"/>
          <w:lang w:val="pl-PL"/>
        </w:rPr>
        <w:tab/>
      </w:r>
      <w:r w:rsidRPr="0083421E">
        <w:rPr>
          <w:sz w:val="22"/>
          <w:szCs w:val="22"/>
          <w:lang w:val="pl-PL"/>
        </w:rPr>
        <w:tab/>
      </w:r>
      <w:r w:rsidRPr="0083421E">
        <w:rPr>
          <w:sz w:val="22"/>
          <w:szCs w:val="22"/>
          <w:lang w:val="pl-PL"/>
        </w:rPr>
        <w:tab/>
      </w:r>
      <w:r w:rsidRPr="0083421E">
        <w:rPr>
          <w:sz w:val="22"/>
          <w:szCs w:val="22"/>
          <w:lang w:val="pl-PL"/>
        </w:rPr>
        <w:tab/>
      </w:r>
      <w:r w:rsidRPr="0083421E">
        <w:rPr>
          <w:sz w:val="22"/>
          <w:szCs w:val="22"/>
          <w:lang w:val="pl-PL"/>
        </w:rPr>
        <w:tab/>
      </w:r>
      <w:r w:rsidRPr="0083421E">
        <w:rPr>
          <w:sz w:val="22"/>
          <w:szCs w:val="22"/>
          <w:lang w:val="pl-PL"/>
        </w:rPr>
        <w:tab/>
      </w:r>
      <w:r w:rsidRPr="0083421E">
        <w:rPr>
          <w:sz w:val="22"/>
          <w:szCs w:val="22"/>
          <w:lang w:val="pl-PL"/>
        </w:rPr>
        <w:tab/>
      </w:r>
      <w:r w:rsidRPr="0083421E">
        <w:rPr>
          <w:sz w:val="22"/>
          <w:szCs w:val="22"/>
          <w:lang w:val="pl-PL"/>
        </w:rPr>
        <w:tab/>
      </w:r>
      <w:r w:rsidRPr="0083421E">
        <w:rPr>
          <w:sz w:val="22"/>
          <w:szCs w:val="22"/>
          <w:lang w:val="pl-PL"/>
        </w:rPr>
        <w:tab/>
        <w:t>Hrvoje Lukšić,v.r.</w:t>
      </w:r>
    </w:p>
    <w:p w:rsidRDefault="007E5A82" w:rsidP="007E5A82" w:rsidR="007E5A82">
      <w:pPr>
        <w:jc w:val="both"/>
        <w:rPr>
          <w:szCs w:val="22"/>
          <w:lang w:val="pl-PL"/>
        </w:rPr>
      </w:pPr>
      <w:r>
        <w:rPr>
          <w:szCs w:val="22"/>
          <w:lang w:val="pl-PL"/>
        </w:rPr>
        <w:tab/>
      </w:r>
      <w:r>
        <w:rPr>
          <w:szCs w:val="22"/>
          <w:lang w:val="pl-PL"/>
        </w:rPr>
        <w:tab/>
      </w:r>
      <w:r>
        <w:rPr>
          <w:szCs w:val="22"/>
          <w:lang w:val="pl-PL"/>
        </w:rPr>
        <w:tab/>
      </w:r>
      <w:r>
        <w:rPr>
          <w:szCs w:val="22"/>
          <w:lang w:val="pl-PL"/>
        </w:rPr>
        <w:tab/>
      </w:r>
      <w:r>
        <w:rPr>
          <w:szCs w:val="22"/>
          <w:lang w:val="pl-PL"/>
        </w:rPr>
        <w:tab/>
      </w:r>
      <w:r>
        <w:rPr>
          <w:szCs w:val="22"/>
          <w:lang w:val="pl-PL"/>
        </w:rPr>
        <w:tab/>
      </w:r>
      <w:r>
        <w:rPr>
          <w:szCs w:val="22"/>
          <w:lang w:val="pl-PL"/>
        </w:rPr>
        <w:tab/>
      </w:r>
      <w:r>
        <w:rPr>
          <w:szCs w:val="22"/>
          <w:lang w:val="pl-PL"/>
        </w:rPr>
        <w:tab/>
      </w:r>
      <w:r>
        <w:rPr>
          <w:szCs w:val="22"/>
          <w:lang w:val="pl-PL"/>
        </w:rPr>
        <w:tab/>
        <w:t xml:space="preserve"> </w:t>
      </w:r>
    </w:p>
    <w:p w:rsidRDefault="007E5A82" w:rsidP="007E5A82" w:rsidR="007E5A82" w:rsidRPr="0083421E">
      <w:pPr>
        <w:ind w:firstLine="708"/>
        <w:rPr>
          <w:sz w:val="20"/>
          <w:szCs w:val="20"/>
        </w:rPr>
      </w:pPr>
      <w:r w:rsidRPr="0083421E">
        <w:rPr>
          <w:sz w:val="20"/>
          <w:szCs w:val="20"/>
        </w:rPr>
        <w:t xml:space="preserve">POUKA O PRAVNOM LIJEKU: </w:t>
      </w:r>
    </w:p>
    <w:p w:rsidRDefault="007E5A82" w:rsidP="007E5A82" w:rsidR="007E5A82" w:rsidRPr="0083421E">
      <w:pPr>
        <w:jc w:val="both"/>
        <w:rPr>
          <w:sz w:val="20"/>
          <w:szCs w:val="20"/>
        </w:rPr>
      </w:pPr>
      <w:r w:rsidRPr="0083421E">
        <w:rPr>
          <w:sz w:val="20"/>
          <w:szCs w:val="20"/>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E5A82" w:rsidP="007E5A82" w:rsidR="007E5A82">
      <w:pPr>
        <w:jc w:val="both"/>
        <w:rPr>
          <w:szCs w:val="22"/>
        </w:rPr>
      </w:pPr>
    </w:p>
    <w:p w:rsidRDefault="007E5A82" w:rsidP="007E5A82" w:rsidR="007E5A82">
      <w:pP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t xml:space="preserve">Za točnost </w:t>
      </w:r>
      <w:proofErr w:type="spellStart"/>
      <w:r>
        <w:rPr>
          <w:szCs w:val="22"/>
        </w:rPr>
        <w:t>otpravka</w:t>
      </w:r>
      <w:proofErr w:type="spellEnd"/>
    </w:p>
    <w:p w:rsidRDefault="007E5A82" w:rsidP="007E5A82" w:rsidR="007E5A82">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5A82"/>
    <w:rsid w:val="007E74B9"/>
    <w:rsid w:val="007F4D5B"/>
    <w:rsid w:val="007F5FBF"/>
    <w:rsid w:val="008144E2"/>
    <w:rsid w:val="00816E61"/>
    <w:rsid w:val="0083421E"/>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E5A82"/>
    <w:rPr>
      <w:color w:val="808080"/>
      <w:bdr w:space="0" w:sz="0" w:color="auto" w:val="none"/>
      <w:shd w:fill="auto" w:color="auto" w:val="clear"/>
    </w:rPr>
  </w:style>
  <w:style w:customStyle="true" w:styleId="eSPISCCParagraphDefaultFont" w:type="character">
    <w:name w:val="eSPIS_CC_Paragraph Default Font"/>
    <w:basedOn w:val="Zadanifontodlomka"/>
    <w:rsid w:val="007E5A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5A82"/>
    <w:rPr>
      <w:bdr w:space="0" w:sz="0" w:color="auto" w:val="none"/>
      <w:shd w:fill="FFFFCC" w:color="auto" w:val="clear"/>
      <w:lang w:val="hr-HR"/>
    </w:rPr>
  </w:style>
  <w:style w:customStyle="true" w:styleId="PozadinaSvijetloCrvena" w:type="character">
    <w:name w:val="Pozadina_SvijetloCrvena"/>
    <w:basedOn w:val="eSPISCCParagraphDefaultFont"/>
    <w:rsid w:val="007E5A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5A82"/>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7E5A82"/>
    <w:rPr>
      <w:rFonts w:hAnsi="Arial Narrow" w:ascii="Arial Narrow"/>
      <w:szCs w:val="20"/>
    </w:rPr>
  </w:style>
  <w:style w:customStyle="true" w:styleId="TijelotekstaChar" w:type="character">
    <w:name w:val="Tijelo teksta Char"/>
    <w:basedOn w:val="Zadanifontodlomka"/>
    <w:link w:val="Tijeloteksta"/>
    <w:semiHidden/>
    <w:rsid w:val="007E5A82"/>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7E5A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5A8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E5A82"/>
    <w:rPr>
      <w:color w:val="808080"/>
      <w:bdr w:color="auto" w:space="0" w:sz="0" w:val="none"/>
      <w:shd w:color="auto" w:fill="auto" w:val="clear"/>
    </w:rPr>
  </w:style>
  <w:style w:customStyle="1" w:styleId="eSPISCCParagraphDefaultFont" w:type="character">
    <w:name w:val="eSPIS_CC_Paragraph Default Font"/>
    <w:basedOn w:val="Zadanifontodlomka"/>
    <w:rsid w:val="007E5A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5A82"/>
    <w:rPr>
      <w:bdr w:color="auto" w:space="0" w:sz="0" w:val="none"/>
      <w:shd w:color="auto" w:fill="FFFFCC" w:val="clear"/>
      <w:lang w:val="hr-HR"/>
    </w:rPr>
  </w:style>
  <w:style w:customStyle="1" w:styleId="PozadinaSvijetloCrvena" w:type="character">
    <w:name w:val="Pozadina_SvijetloCrvena"/>
    <w:basedOn w:val="eSPISCCParagraphDefaultFont"/>
    <w:rsid w:val="007E5A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5A82"/>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7E5A82"/>
    <w:rPr>
      <w:rFonts w:ascii="Arial Narrow" w:hAnsi="Arial Narrow"/>
      <w:szCs w:val="20"/>
    </w:rPr>
  </w:style>
  <w:style w:customStyle="1" w:styleId="TijelotekstaChar" w:type="character">
    <w:name w:val="Tijelo teksta Char"/>
    <w:basedOn w:val="Zadanifontodlomka"/>
    <w:link w:val="Tijeloteksta"/>
    <w:semiHidden/>
    <w:rsid w:val="007E5A82"/>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7E5A82"/>
    <w:rPr>
      <w:rFonts w:ascii="Tahoma" w:cs="Tahoma" w:hAnsi="Tahoma"/>
      <w:sz w:val="16"/>
      <w:szCs w:val="16"/>
    </w:rPr>
  </w:style>
  <w:style w:customStyle="1" w:styleId="TekstbaloniaChar" w:type="character">
    <w:name w:val="Tekst balončića Char"/>
    <w:basedOn w:val="Zadanifontodlomka"/>
    <w:link w:val="Tekstbalonia"/>
    <w:uiPriority w:val="99"/>
    <w:semiHidden/>
    <w:rsid w:val="007E5A8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127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7946</izvorni_sadrzaj>
    <derivirana_varijabla naziv="DomainObject.Predmet.Broj_1">7946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St-7946/2015</izvorni_sadrzaj>
    <derivirana_varijabla naziv="DomainObject.Predmet.OznakaBroj_1">St-7946/2015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AETHERA CANDELA d.o.o.</izvorni_sadrzaj>
    <derivirana_varijabla naziv="DomainObject.Predmet.ProtustrankaFormated_1">  AETHERA CANDELA d.o.o.</derivirana_varijabla>
  </DomainObject.Predmet.ProtustrankaFormated>
  <DomainObject.Predmet.ProtustrankaFormatedOIB>
    <izvorni_sadrzaj>  AETHERA CANDELA d.o.o., OIB 64532775737</izvorni_sadrzaj>
    <derivirana_varijabla naziv="DomainObject.Predmet.ProtustrankaFormatedOIB_1">  AETHERA CANDELA d.o.o., OIB 64532775737</derivirana_varijabla>
  </DomainObject.Predmet.ProtustrankaFormatedOIB>
  <DomainObject.Predmet.ProtustrankaFormatedWithAdress>
    <izvorni_sadrzaj> AETHERA CANDELA d.o.o., Gornji Bukovac 37, 10000 Zagreb</izvorni_sadrzaj>
    <derivirana_varijabla naziv="DomainObject.Predmet.ProtustrankaFormatedWithAdress_1"> AETHERA CANDELA d.o.o., Gornji Bukovac 37, 10000 Zagreb</derivirana_varijabla>
  </DomainObject.Predmet.ProtustrankaFormatedWithAdress>
  <DomainObject.Predmet.ProtustrankaFormatedWithAdressOIB>
    <izvorni_sadrzaj> AETHERA CANDELA d.o.o., OIB 64532775737, Gornji Bukovac 37, 10000 Zagreb</izvorni_sadrzaj>
    <derivirana_varijabla naziv="DomainObject.Predmet.ProtustrankaFormatedWithAdressOIB_1"> AETHERA CANDELA d.o.o., OIB 64532775737, Gornji Bukovac 37, 10000 Zagreb</derivirana_varijabla>
  </DomainObject.Predmet.ProtustrankaFormatedWithAdressOIB>
  <DomainObject.Predmet.ProtustrankaWithAdress>
    <izvorni_sadrzaj>AETHERA CANDELA d.o.o. Gornji Bukovac 37, 10000 Zagreb</izvorni_sadrzaj>
    <derivirana_varijabla naziv="DomainObject.Predmet.ProtustrankaWithAdress_1">AETHERA CANDELA d.o.o. Gornji Bukovac 37, 10000 Zagreb</derivirana_varijabla>
  </DomainObject.Predmet.ProtustrankaWithAdress>
  <DomainObject.Predmet.ProtustrankaWithAdressOIB>
    <izvorni_sadrzaj>AETHERA CANDELA d.o.o., OIB 64532775737, Gornji Bukovac 37, 10000 Zagreb</izvorni_sadrzaj>
    <derivirana_varijabla naziv="DomainObject.Predmet.ProtustrankaWithAdressOIB_1">AETHERA CANDELA d.o.o., OIB 64532775737, Gornji Bukovac 37, 10000 Zagreb</derivirana_varijabla>
  </DomainObject.Predmet.ProtustrankaWithAdressOIB>
  <DomainObject.Predmet.ProtustrankaNazivFormated>
    <izvorni_sadrzaj>AETHERA CANDELA d.o.o.</izvorni_sadrzaj>
    <derivirana_varijabla naziv="DomainObject.Predmet.ProtustrankaNazivFormated_1">AETHERA CANDELA d.o.o.</derivirana_varijabla>
  </DomainObject.Predmet.ProtustrankaNazivFormated>
  <DomainObject.Predmet.ProtustrankaNazivFormatedOIB>
    <izvorni_sadrzaj>AETHERA CANDELA d.o.o., OIB 64532775737</izvorni_sadrzaj>
    <derivirana_varijabla naziv="DomainObject.Predmet.ProtustrankaNazivFormatedOIB_1">AETHERA CANDELA d.o.o., OIB 64532775737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AETHERA CANDELA d.o.o.</item>
    </izvorni_sadrzaj>
    <derivirana_varijabla naziv="DomainObject.Predmet.ProtuStrankaListFormated_1">
      <item>AETHERA CANDELA d.o.o.</item>
    </derivirana_varijabla>
  </DomainObject.Predmet.ProtuStrankaListFormated>
  <DomainObject.Predmet.ProtuStrankaListFormatedOIB>
    <izvorni_sadrzaj>
      <item>AETHERA CANDELA d.o.o., OIB 64532775737</item>
    </izvorni_sadrzaj>
    <derivirana_varijabla naziv="DomainObject.Predmet.ProtuStrankaListFormatedOIB_1">
      <item>AETHERA CANDELA d.o.o., OIB 64532775737</item>
    </derivirana_varijabla>
  </DomainObject.Predmet.ProtuStrankaListFormatedOIB>
  <DomainObject.Predmet.ProtuStrankaListFormatedWithAdress>
    <izvorni_sadrzaj>
      <item>AETHERA CANDELA d.o.o., Gornji Bukovac 37, 10000 Zagreb</item>
    </izvorni_sadrzaj>
    <derivirana_varijabla naziv="DomainObject.Predmet.ProtuStrankaListFormatedWithAdress_1">
      <item>AETHERA CANDELA d.o.o., Gornji Bukovac 37, 10000 Zagreb</item>
    </derivirana_varijabla>
  </DomainObject.Predmet.ProtuStrankaListFormatedWithAdress>
  <DomainObject.Predmet.ProtuStrankaListFormatedWithAdressOIB>
    <izvorni_sadrzaj>
      <item>AETHERA CANDELA d.o.o., OIB 64532775737, Gornji Bukovac 37, 10000 Zagreb</item>
    </izvorni_sadrzaj>
    <derivirana_varijabla naziv="DomainObject.Predmet.ProtuStrankaListFormatedWithAdressOIB_1">
      <item>AETHERA CANDELA d.o.o., OIB 64532775737, Gornji Bukovac 37, 10000 Zagreb</item>
    </derivirana_varijabla>
  </DomainObject.Predmet.ProtuStrankaListFormatedWithAdressOIB>
  <DomainObject.Predmet.ProtuStrankaListNazivFormated>
    <izvorni_sadrzaj>
      <item>AETHERA CANDELA d.o.o.</item>
    </izvorni_sadrzaj>
    <derivirana_varijabla naziv="DomainObject.Predmet.ProtuStrankaListNazivFormated_1">
      <item>AETHERA CANDELA d.o.o.</item>
    </derivirana_varijabla>
  </DomainObject.Predmet.ProtuStrankaListNazivFormated>
  <DomainObject.Predmet.ProtuStrankaListNazivFormatedOIB>
    <izvorni_sadrzaj>
      <item>AETHERA CANDELA d.o.o., OIB 64532775737</item>
    </izvorni_sadrzaj>
    <derivirana_varijabla naziv="DomainObject.Predmet.ProtuStrankaListNazivFormatedOIB_1">
      <item>AETHERA CANDELA d.o.o., OIB 64532775737</item>
    </derivirana_varijabla>
  </DomainObject.Predmet.ProtuStrankaListNazivFormatedOIB>
  <DomainObject.Predmet.OstaliListFormated>
    <izvorni_sadrzaj>
      <item>Roberto Gudelj</item>
      <item>HRVATSKI ZAVOD ZA MIROVINSKO OSIGURANJE</item>
    </izvorni_sadrzaj>
    <derivirana_varijabla naziv="DomainObject.Predmet.OstaliListFormated_1">
      <item>Roberto Gudelj</item>
      <item>HRVATSKI ZAVOD ZA MIROVINSKO OSIGURANJE</item>
    </derivirana_varijabla>
  </DomainObject.Predmet.OstaliListFormated>
  <DomainObject.Predmet.OstaliListFormatedOIB>
    <izvorni_sadrzaj>
      <item>Roberto Gudelj, OIB 81117852447</item>
      <item>HRVATSKI ZAVOD ZA MIROVINSKO OSIGURANJE, OIB 84397956623</item>
    </izvorni_sadrzaj>
    <derivirana_varijabla naziv="DomainObject.Predmet.OstaliListFormatedOIB_1">
      <item>Roberto Gudelj, OIB 81117852447</item>
      <item>HRVATSKI ZAVOD ZA MIROVINSKO OSIGURANJE, OIB 84397956623</item>
    </derivirana_varijabla>
  </DomainObject.Predmet.OstaliListFormatedOIB>
  <DomainObject.Predmet.OstaliListFormatedWithAdress>
    <izvorni_sadrzaj>
      <item>Roberto Gudelj, Dubljevička Ulica 17, 10000 Zagreb</item>
      <item>HRVATSKI ZAVOD ZA MIROVINSKO OSIGURANJE, Trpimirova 4, 10000 Zagreb</item>
    </izvorni_sadrzaj>
    <derivirana_varijabla naziv="DomainObject.Predmet.OstaliListFormatedWithAdress_1">
      <item>Roberto Gudelj, Dubljevička Ulica 17, 10000 Zagreb</item>
      <item>HRVATSKI ZAVOD ZA MIROVINSKO OSIGURANJE, Trpimirova 4, 10000 Zagreb</item>
    </derivirana_varijabla>
  </DomainObject.Predmet.OstaliListFormatedWithAdress>
  <DomainObject.Predmet.OstaliListFormatedWithAdressOIB>
    <izvorni_sadrzaj>
      <item>Roberto Gudelj, OIB 81117852447, Dubljevička Ulica 17, 10000 Zagreb</item>
      <item>HRVATSKI ZAVOD ZA MIROVINSKO OSIGURANJE, OIB 84397956623, Trpimirova 4, 10000 Zagreb</item>
    </izvorni_sadrzaj>
    <derivirana_varijabla naziv="DomainObject.Predmet.OstaliListFormatedWithAdressOIB_1">
      <item>Roberto Gudelj, OIB 81117852447, Dubljevička Ulica 17, 10000 Zagreb</item>
      <item>HRVATSKI ZAVOD ZA MIROVINSKO OSIGURANJE, OIB 84397956623, Trpimirova 4, 10000 Zagreb</item>
    </derivirana_varijabla>
  </DomainObject.Predmet.OstaliListFormatedWithAdressOIB>
  <DomainObject.Predmet.OstaliListNazivFormated>
    <izvorni_sadrzaj>
      <item>Roberto Gudelj</item>
      <item>HRVATSKI ZAVOD ZA MIROVINSKO OSIGURANJE</item>
    </izvorni_sadrzaj>
    <derivirana_varijabla naziv="DomainObject.Predmet.OstaliListNazivFormated_1">
      <item>Roberto Gudelj</item>
      <item>HRVATSKI ZAVOD ZA MIROVINSKO OSIGURANJE</item>
    </derivirana_varijabla>
  </DomainObject.Predmet.OstaliListNazivFormated>
  <DomainObject.Predmet.OstaliListNazivFormatedOIB>
    <izvorni_sadrzaj>
      <item>Roberto Gudelj, OIB 81117852447</item>
      <item>HRVATSKI ZAVOD ZA MIROVINSKO OSIGURANJE, OIB 84397956623</item>
    </izvorni_sadrzaj>
    <derivirana_varijabla naziv="DomainObject.Predmet.OstaliListNazivFormatedOIB_1">
      <item>Roberto Gudelj, OIB 81117852447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AETHERA CANDELA d.o.o.</izvorni_sadrzaj>
    <derivirana_varijabla naziv="DomainObject.Predmet.ProtustrankaIDrugi_1">AETHERA CANDELA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AETHERA CANDELA d.o.o., OIB 64532775737, Gornji Bukovac 37, 10000 Zagreb</izvorni_sadrzaj>
    <derivirana_varijabla naziv="DomainObject.Predmet.ProtustrankaIDrugiAdressOIB_1">AETHERA CANDELA d.o.o., OIB 64532775737,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AETHERA CANDELA d.o.o.</item>
      <item>FINA Regionalni centar Zagreb</item>
      <item>Roberto Gudelj</item>
      <item>HRVATSKI ZAVOD ZA MIROVINSKO OSIGURANJE</item>
    </izvorni_sadrzaj>
    <derivirana_varijabla naziv="DomainObject.Predmet.SudioniciListNaziv_1">
      <item>AETHERA CANDELA d.o.o.</item>
      <item>FINA Regionalni centar Zagreb</item>
      <item>Roberto Gudelj</item>
      <item>HRVATSKI ZAVOD ZA MIROVINSKO OSIGURANJE</item>
    </derivirana_varijabla>
  </DomainObject.Predmet.SudioniciListNaziv>
  <DomainObject.Predmet.SudioniciListAdressOIB>
    <izvorni_sadrzaj>
      <item>AETHERA CANDELA d.o.o., OIB 64532775737, Gornji Bukovac 37,10000 Zagreb</item>
      <item>FINA Regionalni centar Zagreb, OIB 85821130368, Trg svibanjskih žrtava 1995. br. 1,10000 Zagreb</item>
      <item>Roberto Gudelj, OIB 81117852447, Dubljevička Ulica 17,10000 Zagreb</item>
      <item>HRVATSKI ZAVOD ZA MIROVINSKO OSIGURANJE, OIB 84397956623, Trpimirova 4,10000 Zagreb</item>
    </izvorni_sadrzaj>
    <derivirana_varijabla naziv="DomainObject.Predmet.SudioniciListAdressOIB_1">
      <item>AETHERA CANDELA d.o.o., OIB 64532775737, Gornji Bukovac 37,10000 Zagreb</item>
      <item>FINA Regionalni centar Zagreb, OIB 85821130368, Trg svibanjskih žrtava 1995. br. 1,10000 Zagreb</item>
      <item>Roberto Gudelj, OIB 81117852447, Dubljevička Ulica 17,10000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64532775737</item>
      <item>, OIB 85821130368</item>
      <item>, OIB 81117852447</item>
      <item>, OIB 84397956623</item>
    </izvorni_sadrzaj>
    <derivirana_varijabla naziv="DomainObject.Predmet.SudioniciListNazivOIB_1">
      <item>, OIB 64532775737</item>
      <item>, OIB 85821130368</item>
      <item>, OIB 81117852447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352</properties:Words>
  <properties:Characters>1903</properties:Characters>
  <properties:Lines>49</properties:Lines>
  <properties:Paragraphs>20</properties:Paragraphs>
  <properties:TotalTime>2</properties:TotalTime>
  <properties:ScaleCrop>false</properties:ScaleCrop>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2016-03-23T13:16:00Z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