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ce39" w14:paraId="56dce39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E302A8">
        <w:t>1696/16-78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CE38B6" w:rsidRPr="00EC7C15">
        <w:rPr>
          <w:b/>
        </w:rPr>
        <w:t>SCAT-ING d.o.o. „u stečaju“, Braće Radića 26 Našice, MBS: 050021527, OIB: 32183024669</w:t>
      </w:r>
      <w:r w:rsidRPr="001F308A">
        <w:t xml:space="preserve">, dana </w:t>
      </w:r>
      <w:r w:rsidR="00E302A8">
        <w:t>18</w:t>
      </w:r>
      <w:r w:rsidR="00CE38B6">
        <w:t>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E302A8" w:rsidP="00E302A8" w:rsidR="00E302A8" w:rsidRPr="00A43846">
      <w:r w:rsidRPr="00A43846">
        <w:tab/>
      </w:r>
      <w:r w:rsidRPr="00A43846">
        <w:tab/>
      </w:r>
      <w:r w:rsidRPr="00A43846">
        <w:tab/>
      </w:r>
      <w:r w:rsidRPr="00A43846">
        <w:tab/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Dosuđuje se ponuditelju TEHNO ELEKTRO d.o.o. Đakovo , 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Cesarca 3, OIB 11657560751 nekretnina upisana u zk.ul.4030, kč.br.2829/2 PU 546 k.o. Našice , u Našicama, Braće Radića 26/II kat lijevo,  površine 41m2 za iznos 298.750,00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TEHNO ELEKTRO d.o.o. Đakovo, , 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Cesarca 3, OIB 11657560751 kao kupac nekretnine iz točke 1.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izreke ovog rješenja nije dužan platiti kupovninu u iznosu od 298.750,00 kn, s obzirom da je 8.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kolovoza 2018.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g. kupac dostavio izjavu po članku 247.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stavak 7. Stečajnog zakona, te se isti iznos prebija s tražbinom kupca kao razlučnog vjerovnika na predmetnoj nekretnini</w:t>
      </w:r>
      <w:r w:rsidR="004C09A6">
        <w:rPr>
          <w:rFonts w:hAnsi="Times New Roman" w:ascii="Times New Roman"/>
          <w:sz w:val="24"/>
          <w:szCs w:val="24"/>
        </w:rPr>
        <w:t xml:space="preserve"> (iznos tražbine razlučnog vjerovnika 835.000,00 EUR-a)</w:t>
      </w:r>
      <w:r w:rsidRPr="00A43846">
        <w:rPr>
          <w:rFonts w:hAnsi="Times New Roman" w:ascii="Times New Roman"/>
          <w:sz w:val="24"/>
          <w:szCs w:val="24"/>
        </w:rPr>
        <w:t>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TEHNO ELEKTRO d.o.o. Đakovo, , 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Cesarca 3, OIB 11657560751 kao kupac nekretnine iz točke 1.izreke ovog rješenja dužan je podmiriti troškove unovčenja u iznosu 48.872,49 kn u roku od 30 dana od dana pravomoćnosti ovoga rješenja.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Kupac je dužan platiti sve troškove vezane s prodajom i prijenosom vlasništva nekretnine iz točke 1.izreke ovog rješenja na kupca ,dok će se kupac  koristiti institutom prijenosa porezne obveze sukladno odredbi točke 75.stavak 3.Zakona o porezu na dodanu vrijednost (NN 73/13 i 143/14)  jer je u sustavu PDV-a.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i nakon što kupac plati troškove unovčenja u iznosu 48.872,49 kn, te se u zemljišnim knjigama upiše u njegovu korist pravo vlasništva na dosuđenoj nekretnini brisati će se prava i tereti upisani na predmetnoj nekretnini.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nekretnina će se predati kupcu temeljem posebnog zaključka.</w:t>
      </w:r>
    </w:p>
    <w:p w:rsidRDefault="00E302A8" w:rsidP="00E302A8" w:rsidR="00E302A8" w:rsidRPr="00A43846">
      <w:pPr>
        <w:pStyle w:val="Odlomakpopisa"/>
        <w:numPr>
          <w:ilvl w:val="0"/>
          <w:numId w:val="27"/>
        </w:numPr>
        <w:spacing w:lineRule="auto" w:line="259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Nekretnina će se dosuditi i kupcima koji su ponudili nižu cijenu ukoliko kupac ne plati troškove iz točke 3.izreke ovog rješenja. U tom slučaju sud će donijeti posebno rješenje o dosudi svakom slijedećem kupcu koji je ispunio uvjete da mu se nekretnina dosudi, u </w:t>
      </w:r>
      <w:r w:rsidRPr="00A43846">
        <w:rPr>
          <w:rFonts w:hAnsi="Times New Roman" w:ascii="Times New Roman"/>
          <w:sz w:val="24"/>
          <w:szCs w:val="24"/>
        </w:rPr>
        <w:lastRenderedPageBreak/>
        <w:t>kojem će odrediti rok  za polaganje kupovnine.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Sud će u tom rješenju najprije oglasiti nevažećom dosudu kupcu koji je ponudio višu cijenu.</w:t>
      </w:r>
    </w:p>
    <w:p w:rsidRDefault="00E302A8" w:rsidP="00E302A8" w:rsidR="00E302A8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Obrazloženja</w:t>
      </w:r>
    </w:p>
    <w:p w:rsidRDefault="00E302A8" w:rsidP="00E302A8" w:rsidR="00E302A8" w:rsidRPr="00A4384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302A8" w:rsidP="004C09A6" w:rsidR="00E302A8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 provedenoj prvoj elektroničkoj javnoj dražbi dana kupac i prvi razlučni  vjerovnik TEHNO ELEKTRO d.o.o. Đakovo,  A.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Cesarca </w:t>
      </w:r>
      <w:r w:rsidR="004C09A6">
        <w:rPr>
          <w:rFonts w:hAnsi="Times New Roman" w:ascii="Times New Roman"/>
          <w:sz w:val="24"/>
          <w:szCs w:val="24"/>
        </w:rPr>
        <w:t xml:space="preserve">3, OIB 11657560751 dostavio je </w:t>
      </w:r>
      <w:r w:rsidRPr="00A43846">
        <w:rPr>
          <w:rFonts w:hAnsi="Times New Roman" w:ascii="Times New Roman"/>
          <w:sz w:val="24"/>
          <w:szCs w:val="24"/>
        </w:rPr>
        <w:t>8.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kolovoza 2018.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g.Trgovačkom sudu u Osijeku pisanu  Izjavu po članku 247.stavk 7. Stečajnog zakona  te izjavio  da stavlja u prijeboj svoju tražbinu</w:t>
      </w:r>
      <w:r w:rsidR="004C09A6">
        <w:rPr>
          <w:rFonts w:hAnsi="Times New Roman" w:ascii="Times New Roman"/>
          <w:sz w:val="24"/>
          <w:szCs w:val="24"/>
        </w:rPr>
        <w:t xml:space="preserve"> (850.000,00 EUR-a)</w:t>
      </w:r>
      <w:r w:rsidRPr="00A43846">
        <w:rPr>
          <w:rFonts w:hAnsi="Times New Roman" w:ascii="Times New Roman"/>
          <w:sz w:val="24"/>
          <w:szCs w:val="24"/>
        </w:rPr>
        <w:t xml:space="preserve"> s protutražbinom dužnika u visini utvrđene vrijednosti u iznosu 298.750,00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kn.</w:t>
      </w:r>
    </w:p>
    <w:p w:rsidRDefault="004C09A6" w:rsidP="004C09A6" w:rsidR="004C09A6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E302A8" w:rsidP="004C09A6" w:rsidR="00E302A8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Stečajna upraviteljica je svojim podneskom dostavljenim sudu 30.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kolovoza 2018.g.sukladno odredbi članka 254 .SZ  dostavila troškove unovčenja u iznosu 48.872,49 kn i da iste čine:</w:t>
      </w:r>
    </w:p>
    <w:p w:rsidRDefault="00E302A8" w:rsidP="00E302A8" w:rsidR="00E302A8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-troškovi utvrđenja razlučnog prava…………………………………...14.937,50 kn</w:t>
      </w:r>
    </w:p>
    <w:p w:rsidRDefault="00E302A8" w:rsidP="00E302A8" w:rsidR="00E302A8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-nagrada stečajnoj upraviteljici( ukupan trošak)……………..28.925,65 kn</w:t>
      </w:r>
    </w:p>
    <w:p w:rsidRDefault="00E302A8" w:rsidP="00E302A8" w:rsidR="00E302A8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-troškovi elektroničke javne dražbe…………………………………..….1.220,00 kn</w:t>
      </w:r>
    </w:p>
    <w:p w:rsidRDefault="00E302A8" w:rsidP="00E302A8" w:rsidR="00E302A8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-troškovi komunalne naknade i naknade za uređenje voda…..1.739,34 kn</w:t>
      </w:r>
    </w:p>
    <w:p w:rsidRDefault="00E302A8" w:rsidP="00E302A8" w:rsidR="00E302A8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-troškovi procjene…………………………………………………………………..…..2.050,00 kn</w:t>
      </w:r>
    </w:p>
    <w:p w:rsidRDefault="00E302A8" w:rsidP="00E302A8" w:rsidR="00E302A8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302A8" w:rsidP="004C09A6" w:rsidR="00E302A8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Kako su ispunjeni uvjeti iz zaključka o određivanju prodaje  od 6.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travnja 2018.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g. i Zahtjeva za prodaju nekretnina u stečajnom postupku, te kako je  sud utvrdio da je predmetni ponuditelj ponudio najveću cijenu i da su ispunjene pretpostavke iz članka 247.</w:t>
      </w:r>
      <w:r w:rsidR="004C09A6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stavak 7. Stečajnog zakona  da mu se dosude nekretnine, sud je nekretnine dosudio kao u točki 1.izreke ovoga rješenja.</w:t>
      </w:r>
    </w:p>
    <w:p w:rsidRDefault="004C09A6" w:rsidP="004C09A6" w:rsidR="004C09A6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E302A8" w:rsidP="004C09A6" w:rsidR="00E302A8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Slijedom navedenog sud je odlučio kao u izreci rješenja sukladno čl.103 i 132.c Ovršnog zakona (NN 112/12 25/13 i 93/14) a sve sukladno članku 247.i 254.SZ)</w:t>
      </w:r>
    </w:p>
    <w:p w:rsidRDefault="00E302A8" w:rsidP="00E302A8" w:rsidR="00E302A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C09A6" w:rsidP="00E302A8" w:rsidR="004C09A6" w:rsidRPr="00A4384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U Osijeku </w:t>
      </w:r>
      <w:r>
        <w:rPr>
          <w:rFonts w:hAnsi="Times New Roman" w:ascii="Times New Roman"/>
          <w:sz w:val="24"/>
          <w:szCs w:val="24"/>
        </w:rPr>
        <w:t>18. rujna 2018. g.</w:t>
      </w: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Zapisničar:</w:t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Nada Roso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POUKA O PRAVNOM LIJEKU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 u roku 8 dana pismeno u 3 primjerka putem ovog suda.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DNA: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1</w:t>
      </w:r>
      <w:r w:rsidRPr="00A43846">
        <w:rPr>
          <w:rFonts w:hAnsi="Times New Roman" w:ascii="Times New Roman"/>
          <w:sz w:val="24"/>
          <w:szCs w:val="24"/>
        </w:rPr>
        <w:tab/>
        <w:t>Stečajna upraviteljica Živka Posavac</w:t>
      </w:r>
    </w:p>
    <w:p w:rsidRDefault="00E302A8" w:rsidP="00E302A8" w:rsidR="00E302A8" w:rsidRPr="00A43846">
      <w:pPr>
        <w:pStyle w:val="Odlomakpopisa"/>
        <w:spacing w:lineRule="auto" w:line="240"/>
        <w:ind w:hanging="690" w:left="141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2.</w:t>
      </w:r>
      <w:r w:rsidRPr="00A43846">
        <w:rPr>
          <w:rFonts w:hAnsi="Times New Roman" w:ascii="Times New Roman"/>
          <w:sz w:val="24"/>
          <w:szCs w:val="24"/>
        </w:rPr>
        <w:tab/>
        <w:t>TEHNO ELEKTRO d.o.o. Đakovo zastupan po odvjetnici Nadi Gagro, iz Vinkovaca. Glagoljaška 52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3.</w:t>
      </w:r>
      <w:r w:rsidRPr="00A43846">
        <w:rPr>
          <w:rFonts w:hAnsi="Times New Roman" w:ascii="Times New Roman"/>
          <w:sz w:val="24"/>
          <w:szCs w:val="24"/>
        </w:rPr>
        <w:tab/>
        <w:t>Općinski sud u Osijeku, zk odjel Našice po pravomoćnosti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4.</w:t>
      </w:r>
      <w:r w:rsidRPr="00A43846">
        <w:rPr>
          <w:rFonts w:hAnsi="Times New Roman" w:ascii="Times New Roman"/>
          <w:sz w:val="24"/>
          <w:szCs w:val="24"/>
        </w:rPr>
        <w:tab/>
        <w:t xml:space="preserve">MF PU Osijek po pravomoćnosti 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5.</w:t>
      </w:r>
      <w:r w:rsidRPr="00A43846">
        <w:rPr>
          <w:rFonts w:hAnsi="Times New Roman" w:ascii="Times New Roman"/>
          <w:sz w:val="24"/>
          <w:szCs w:val="24"/>
        </w:rPr>
        <w:tab/>
        <w:t>Mrežna stranica e-Oglasna ploča sudova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6.</w:t>
      </w:r>
      <w:r w:rsidRPr="00A43846">
        <w:rPr>
          <w:rFonts w:hAnsi="Times New Roman" w:ascii="Times New Roman"/>
          <w:sz w:val="24"/>
          <w:szCs w:val="24"/>
        </w:rPr>
        <w:tab/>
        <w:t>FINA radi objave na mrežnim stranicama</w:t>
      </w:r>
    </w:p>
    <w:p w:rsidRDefault="004C09A6" w:rsidP="00E302A8" w:rsidR="004C09A6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>
        <w:rPr>
          <w:rFonts w:hAnsi="Times New Roman" w:ascii="Times New Roman"/>
          <w:sz w:val="24"/>
          <w:szCs w:val="24"/>
        </w:rPr>
        <w:tab/>
        <w:t>k-18.10.</w:t>
      </w: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144" w:rsidR="001E6144">
      <w:r>
        <w:separator/>
      </w:r>
    </w:p>
  </w:endnote>
  <w:endnote w:id="0" w:type="continuationSeparator">
    <w:p w:rsidRDefault="001E6144" w:rsidR="001E6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144" w:rsidR="001E6144">
      <w:r>
        <w:separator/>
      </w:r>
    </w:p>
  </w:footnote>
  <w:footnote w:id="0" w:type="continuationSeparator">
    <w:p w:rsidRDefault="001E6144" w:rsidR="001E6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302A8" w:rsidR="00E302A8" w:rsidRPr="00151FF0">
    <w:pPr>
      <w:jc w:val="right"/>
    </w:pPr>
    <w:r>
      <w:tab/>
    </w:r>
    <w:r>
      <w:tab/>
    </w:r>
    <w:r w:rsidR="00E302A8">
      <w:t>6 St-1696/16-78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4D165F"/>
    <w:multiLevelType w:val="hybridMultilevel"/>
    <w:tmpl w:val="20863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6"/>
  </w:num>
  <w:num w:numId="3">
    <w:abstractNumId w:val="21"/>
  </w:num>
  <w:num w:numId="4">
    <w:abstractNumId w:val="8"/>
  </w:num>
  <w:num w:numId="5">
    <w:abstractNumId w:val="17"/>
  </w:num>
  <w:num w:numId="6">
    <w:abstractNumId w:val="22"/>
  </w:num>
  <w:num w:numId="7">
    <w:abstractNumId w:val="23"/>
  </w:num>
  <w:num w:numId="8">
    <w:abstractNumId w:val="11"/>
  </w:num>
  <w:num w:numId="9">
    <w:abstractNumId w:val="24"/>
  </w:num>
  <w:num w:numId="10">
    <w:abstractNumId w:val="3"/>
  </w:num>
  <w:num w:numId="11">
    <w:abstractNumId w:val="7"/>
  </w:num>
  <w:num w:numId="12">
    <w:abstractNumId w:val="25"/>
  </w:num>
  <w:num w:numId="13">
    <w:abstractNumId w:val="1"/>
  </w:num>
  <w:num w:numId="14">
    <w:abstractNumId w:val="15"/>
  </w:num>
  <w:num w:numId="15">
    <w:abstractNumId w:val="5"/>
  </w:num>
  <w:num w:numId="16">
    <w:abstractNumId w:val="9"/>
  </w:num>
  <w:num w:numId="17">
    <w:abstractNumId w:val="18"/>
  </w:num>
  <w:num w:numId="18">
    <w:abstractNumId w:val="2"/>
  </w:num>
  <w:num w:numId="19">
    <w:abstractNumId w:val="26"/>
  </w:num>
  <w:num w:numId="20">
    <w:abstractNumId w:val="14"/>
  </w:num>
  <w:num w:numId="21">
    <w:abstractNumId w:val="0"/>
  </w:num>
  <w:num w:numId="22">
    <w:abstractNumId w:val="10"/>
  </w:num>
  <w:num w:numId="23">
    <w:abstractNumId w:val="19"/>
  </w:num>
  <w:num w:numId="24">
    <w:abstractNumId w:val="12"/>
  </w:num>
  <w:num w:numId="25">
    <w:abstractNumId w:val="20"/>
  </w:num>
  <w:num w:numId="26">
    <w:abstractNumId w:val="4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1E6144"/>
    <w:rsid w:val="00216B7F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C09A6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34462"/>
    <w:rsid w:val="00737CB7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41811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38B6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02A8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43199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3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3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5B1DB-2DC4-4C5D-95B1-97B70E77D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678</properties:Words>
  <properties:Characters>3681</properties:Characters>
  <properties:Lines>149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2018-09-18T07:21:00Z</dcterms:created>
  <dc:creator>banka</dc:creator>
  <cp:lastModifiedBy>Danijela Sekulić</cp:lastModifiedBy>
  <cp:lastPrinted>2018-09-18T07:33:00Z</cp:lastPrinted>
  <dcterms:modified xmlns:xsi="http://www.w3.org/2001/XMLSchema-instance" xsi:type="dcterms:W3CDTF">2018-09-18T07:34:00Z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(SCATING-RAZLUČNI.docx)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