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b272b" w14:paraId="3bb272b" w:rsidRDefault="00BC27BD" w:rsidP="00BC27BD" w:rsidR="00BC27BD">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Pr>
          <w:rFonts w:eastAsia="Times New Roman"/>
          <w:noProof/>
          <w:szCs w:val="24"/>
          <w:lang w:eastAsia="hr-HR"/>
        </w:rPr>
        <w:drawing>
          <wp:inline distR="0" distL="0" distB="0" distT="0">
            <wp:extent cy="839470" cx="62801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9470" cx="628015"/>
                    </a:xfrm>
                    <a:prstGeom prst="rect">
                      <a:avLst/>
                    </a:prstGeom>
                    <a:noFill/>
                    <a:ln>
                      <a:noFill/>
                    </a:ln>
                  </pic:spPr>
                </pic:pic>
              </a:graphicData>
            </a:graphic>
          </wp:inline>
        </w:drawing>
      </w:r>
    </w:p>
    <w:p w:rsidRDefault="00BC27BD" w:rsidP="00BC27BD" w:rsidR="00BC27BD">
      <w:pPr>
        <w:rPr>
          <w:szCs w:val="24"/>
        </w:rPr>
      </w:pPr>
      <w:r>
        <w:rPr>
          <w:szCs w:val="24"/>
        </w:rPr>
        <w:t xml:space="preserve">     REPUBLIKA HRVATSKA</w:t>
      </w:r>
    </w:p>
    <w:p w:rsidRDefault="00BC27BD" w:rsidP="00BC27BD" w:rsidR="00BC27BD">
      <w:pPr>
        <w:rPr>
          <w:szCs w:val="24"/>
        </w:rPr>
      </w:pPr>
      <w:r>
        <w:rPr>
          <w:szCs w:val="24"/>
        </w:rPr>
        <w:t>TRGOVAČKI SUD U ZAGREBU</w:t>
      </w:r>
    </w:p>
    <w:p w:rsidRDefault="00BC27BD" w:rsidP="00BC27BD" w:rsidR="00BC27BD">
      <w:pPr>
        <w:tabs>
          <w:tab w:pos="7238" w:val="left"/>
        </w:tabs>
        <w:rPr>
          <w:rFonts w:eastAsia="Times New Roman"/>
          <w:szCs w:val="24"/>
          <w:lang w:eastAsia="hr-HR"/>
        </w:rPr>
      </w:pPr>
      <w:r>
        <w:rPr>
          <w:szCs w:val="24"/>
        </w:rPr>
        <w:t xml:space="preserve">        Zagreb, Amruševa 2/II.</w:t>
      </w:r>
      <w:r>
        <w:rPr>
          <w:rFonts w:eastAsia="Times New Roman"/>
          <w:szCs w:val="24"/>
          <w:lang w:eastAsia="hr-HR"/>
        </w:rPr>
        <w:tab/>
      </w:r>
    </w:p>
    <w:p w:rsidRDefault="00BC27BD" w:rsidP="00BC27BD" w:rsidR="00BC27BD">
      <w:pPr>
        <w:tabs>
          <w:tab w:pos="7238" w:val="left"/>
        </w:tabs>
        <w:jc w:val="right"/>
        <w:rPr>
          <w:rFonts w:eastAsia="Times New Roman"/>
          <w:szCs w:val="24"/>
          <w:lang w:eastAsia="hr-HR"/>
        </w:rPr>
      </w:pPr>
      <w:r>
        <w:rPr>
          <w:rFonts w:eastAsia="Times New Roman"/>
          <w:szCs w:val="24"/>
          <w:lang w:eastAsia="hr-HR"/>
        </w:rPr>
        <w:t>Poslovni broj: 21. St-726/18-16</w:t>
      </w:r>
    </w:p>
    <w:p w:rsidRDefault="00BC27BD" w:rsidP="00BC27BD" w:rsidR="00BC27BD">
      <w:pPr>
        <w:tabs>
          <w:tab w:pos="7238" w:val="left"/>
        </w:tabs>
        <w:jc w:val="right"/>
        <w:rPr>
          <w:rFonts w:eastAsia="Times New Roman"/>
          <w:szCs w:val="24"/>
          <w:lang w:eastAsia="hr-HR"/>
        </w:rPr>
      </w:pPr>
    </w:p>
    <w:p w:rsidRDefault="00BC27BD" w:rsidP="00BC27BD" w:rsidR="00BC27BD">
      <w:pPr>
        <w:tabs>
          <w:tab w:pos="7238" w:val="left"/>
        </w:tabs>
        <w:jc w:val="right"/>
        <w:rPr>
          <w:rFonts w:eastAsia="Times New Roman"/>
          <w:szCs w:val="24"/>
          <w:lang w:eastAsia="hr-HR"/>
        </w:rPr>
      </w:pPr>
    </w:p>
    <w:p w:rsidRDefault="00BC27BD" w:rsidP="00BC27BD" w:rsidR="00BC27BD">
      <w:pPr>
        <w:tabs>
          <w:tab w:pos="7238" w:val="left"/>
        </w:tabs>
        <w:jc w:val="right"/>
        <w:rPr>
          <w:rFonts w:eastAsia="Times New Roman"/>
          <w:szCs w:val="24"/>
          <w:lang w:eastAsia="hr-HR"/>
        </w:rPr>
      </w:pPr>
    </w:p>
    <w:p w:rsidRDefault="00BC27BD" w:rsidP="00BC27BD" w:rsidR="00BC27BD">
      <w:pPr>
        <w:tabs>
          <w:tab w:pos="7238" w:val="left"/>
        </w:tabs>
        <w:jc w:val="right"/>
        <w:rPr>
          <w:rFonts w:eastAsia="Times New Roman"/>
          <w:szCs w:val="24"/>
          <w:lang w:eastAsia="hr-HR"/>
        </w:rPr>
      </w:pPr>
    </w:p>
    <w:p w:rsidRDefault="00BC27BD" w:rsidP="00BC27BD" w:rsidR="00BC27BD">
      <w:pPr>
        <w:jc w:val="center"/>
        <w:rPr>
          <w:rFonts w:eastAsia="Times New Roman"/>
          <w:szCs w:val="24"/>
          <w:lang w:eastAsia="hr-HR" w:val="en-GB"/>
        </w:rPr>
      </w:pPr>
      <w:r>
        <w:rPr>
          <w:rFonts w:eastAsia="Times New Roman"/>
          <w:szCs w:val="24"/>
          <w:lang w:eastAsia="hr-HR" w:val="en-GB"/>
        </w:rPr>
        <w:t>R E P U B L I K A   H R V A T S K A</w:t>
      </w:r>
    </w:p>
    <w:p w:rsidRDefault="00BC27BD" w:rsidP="00BC27BD" w:rsidR="00BC27BD">
      <w:pPr>
        <w:jc w:val="both"/>
        <w:rPr>
          <w:rFonts w:eastAsia="Times New Roman"/>
          <w:szCs w:val="24"/>
          <w:lang w:eastAsia="hr-HR"/>
        </w:rPr>
      </w:pPr>
    </w:p>
    <w:p w:rsidRDefault="00BC27BD" w:rsidP="00BC27BD" w:rsidR="00BC27BD">
      <w:pPr>
        <w:jc w:val="center"/>
        <w:rPr>
          <w:rFonts w:eastAsia="Times New Roman"/>
          <w:szCs w:val="24"/>
          <w:lang w:eastAsia="hr-HR"/>
        </w:rPr>
      </w:pPr>
      <w:r>
        <w:rPr>
          <w:rFonts w:eastAsia="Times New Roman"/>
          <w:szCs w:val="24"/>
          <w:lang w:eastAsia="hr-HR"/>
        </w:rPr>
        <w:t>Z A K L J U Č A K</w:t>
      </w:r>
    </w:p>
    <w:p w:rsidRDefault="00BC27BD" w:rsidP="00BC27BD" w:rsidR="00BC27BD">
      <w:pPr>
        <w:jc w:val="center"/>
        <w:rPr>
          <w:rFonts w:eastAsia="Times New Roman"/>
          <w:szCs w:val="24"/>
          <w:lang w:eastAsia="hr-HR"/>
        </w:rPr>
      </w:pPr>
    </w:p>
    <w:p w:rsidRDefault="00BC27BD" w:rsidP="00BC27BD" w:rsidR="00BC27BD">
      <w:pPr>
        <w:jc w:val="both"/>
        <w:rPr>
          <w:rFonts w:eastAsia="Times New Roman"/>
          <w:szCs w:val="24"/>
          <w:lang w:eastAsia="hr-HR"/>
        </w:rPr>
      </w:pPr>
      <w:r>
        <w:rPr>
          <w:rFonts w:eastAsia="Times New Roman"/>
          <w:szCs w:val="24"/>
          <w:lang w:eastAsia="hr-HR"/>
        </w:rPr>
        <w:tab/>
        <w:t xml:space="preserve">Trgovački sud u Zagrebu, po sutkinji Ivani Manestar, u skraćenom stečajnom postupku pokrenutom nad dužnikom HO-INTERIJER d.o.o., Samobor, Tatjane Marinić 23, OIB: 86532973200, </w:t>
      </w:r>
      <w:r w:rsidRPr="002152CA">
        <w:rPr>
          <w:rFonts w:eastAsia="Times New Roman"/>
          <w:szCs w:val="24"/>
          <w:lang w:eastAsia="hr-HR"/>
        </w:rPr>
        <w:t xml:space="preserve">dana </w:t>
      </w:r>
      <w:r>
        <w:rPr>
          <w:rFonts w:eastAsia="Times New Roman"/>
          <w:szCs w:val="24"/>
          <w:lang w:eastAsia="hr-HR"/>
        </w:rPr>
        <w:t>3. listopada</w:t>
      </w:r>
      <w:r w:rsidRPr="002152CA">
        <w:rPr>
          <w:rFonts w:eastAsia="Times New Roman"/>
          <w:szCs w:val="24"/>
          <w:lang w:eastAsia="hr-HR"/>
        </w:rPr>
        <w:t xml:space="preserve"> 2018.</w:t>
      </w:r>
      <w:r>
        <w:rPr>
          <w:rFonts w:eastAsia="Times New Roman"/>
          <w:szCs w:val="24"/>
          <w:lang w:eastAsia="hr-HR"/>
        </w:rPr>
        <w:t xml:space="preserve"> </w:t>
      </w:r>
    </w:p>
    <w:p w:rsidRDefault="00BC27BD" w:rsidP="00BC27BD" w:rsidR="00BC27BD">
      <w:pPr>
        <w:jc w:val="both"/>
        <w:rPr>
          <w:rFonts w:eastAsia="Times New Roman"/>
          <w:szCs w:val="24"/>
          <w:lang w:eastAsia="hr-HR"/>
        </w:rPr>
      </w:pPr>
    </w:p>
    <w:p w:rsidRDefault="00BC27BD" w:rsidP="00BC27BD" w:rsidR="00BC27BD">
      <w:pPr>
        <w:jc w:val="both"/>
        <w:rPr>
          <w:rFonts w:eastAsia="Times New Roman"/>
          <w:szCs w:val="24"/>
          <w:lang w:eastAsia="hr-HR"/>
        </w:rPr>
      </w:pPr>
    </w:p>
    <w:p w:rsidRDefault="00BC27BD" w:rsidP="00BC27BD" w:rsidR="00BC27BD">
      <w:pPr>
        <w:jc w:val="center"/>
        <w:rPr>
          <w:rFonts w:eastAsia="Times New Roman"/>
          <w:szCs w:val="24"/>
          <w:lang w:eastAsia="hr-HR"/>
        </w:rPr>
      </w:pPr>
      <w:r>
        <w:rPr>
          <w:rFonts w:eastAsia="Times New Roman"/>
          <w:szCs w:val="24"/>
          <w:lang w:eastAsia="hr-HR"/>
        </w:rPr>
        <w:t>z a k l j u č i o   j e</w:t>
      </w:r>
    </w:p>
    <w:p w:rsidRDefault="00BC27BD" w:rsidP="00BC27BD" w:rsidR="00BC27BD">
      <w:pPr>
        <w:jc w:val="center"/>
        <w:rPr>
          <w:rFonts w:eastAsia="Times New Roman"/>
          <w:szCs w:val="24"/>
          <w:lang w:eastAsia="hr-HR"/>
        </w:rPr>
      </w:pPr>
    </w:p>
    <w:p w:rsidRDefault="00BC27BD" w:rsidP="00BC27BD" w:rsidR="00BC27BD">
      <w:pPr>
        <w:jc w:val="both"/>
        <w:rPr>
          <w:rFonts w:eastAsia="Times New Roman"/>
          <w:szCs w:val="24"/>
          <w:lang w:eastAsia="hr-HR"/>
        </w:rPr>
      </w:pPr>
      <w:r>
        <w:rPr>
          <w:rFonts w:eastAsia="Times New Roman"/>
          <w:szCs w:val="24"/>
          <w:lang w:eastAsia="hr-HR"/>
        </w:rPr>
        <w:tab/>
        <w:t>Nalaže se Republici Hrvatskoj, u roku od 30 dana, očitovati da li rješenje o osiguranju naplate pljenidbom i zabranom raspolaganja novčanim sredstvima, koje je doneseno od strane Ministarstva financija, Porezne u</w:t>
      </w:r>
      <w:r w:rsidR="008F3251">
        <w:rPr>
          <w:rFonts w:eastAsia="Times New Roman"/>
          <w:szCs w:val="24"/>
          <w:lang w:eastAsia="hr-HR"/>
        </w:rPr>
        <w:t>prave, Područnog ureda Zagreb, I</w:t>
      </w:r>
      <w:r>
        <w:rPr>
          <w:rFonts w:eastAsia="Times New Roman"/>
          <w:szCs w:val="24"/>
          <w:lang w:eastAsia="hr-HR"/>
        </w:rPr>
        <w:t>spostave Samobor, 10. listopada 2013., klasa UP/I-415-02/2013-01/1754, ur. broj 513-007-01/010-2013-01</w:t>
      </w:r>
      <w:r w:rsidR="008F3251">
        <w:rPr>
          <w:rFonts w:eastAsia="Times New Roman"/>
          <w:szCs w:val="24"/>
          <w:lang w:eastAsia="hr-HR"/>
        </w:rPr>
        <w:t>, i dalje proizvodi pravne učinke</w:t>
      </w:r>
      <w:r w:rsidR="00C42F18">
        <w:rPr>
          <w:rFonts w:eastAsia="Times New Roman"/>
          <w:szCs w:val="24"/>
          <w:lang w:eastAsia="hr-HR"/>
        </w:rPr>
        <w:t xml:space="preserve"> odnosno da li je protivnik osiguranja, ovdje stečajni dužnik, uplatio dospjele doprinose za obvezna osiguranja ili dostavio ID obrasce te jesu li se ispunili uvjeti za ovrhu na zaplijenjenim novčanim sredstvima</w:t>
      </w:r>
      <w:r w:rsidR="008F3251">
        <w:rPr>
          <w:rFonts w:eastAsia="Times New Roman"/>
          <w:szCs w:val="24"/>
          <w:lang w:eastAsia="hr-HR"/>
        </w:rPr>
        <w:t>.</w:t>
      </w:r>
    </w:p>
    <w:p w:rsidRDefault="008F3251" w:rsidP="00BC27BD" w:rsidR="008F3251">
      <w:pPr>
        <w:jc w:val="both"/>
        <w:rPr>
          <w:rFonts w:eastAsia="Times New Roman"/>
          <w:szCs w:val="24"/>
          <w:lang w:eastAsia="hr-HR"/>
        </w:rPr>
      </w:pPr>
    </w:p>
    <w:p w:rsidRDefault="008F3251" w:rsidP="00BC27BD" w:rsidR="008F3251">
      <w:pPr>
        <w:jc w:val="both"/>
        <w:rPr>
          <w:rFonts w:eastAsia="Times New Roman"/>
          <w:szCs w:val="24"/>
          <w:lang w:eastAsia="hr-HR"/>
        </w:rPr>
      </w:pPr>
    </w:p>
    <w:p w:rsidRDefault="008F3251" w:rsidP="008F3251" w:rsidR="008F3251">
      <w:pPr>
        <w:jc w:val="center"/>
        <w:rPr>
          <w:rFonts w:eastAsia="Times New Roman"/>
          <w:szCs w:val="24"/>
          <w:lang w:eastAsia="hr-HR"/>
        </w:rPr>
      </w:pPr>
      <w:r>
        <w:rPr>
          <w:rFonts w:eastAsia="Times New Roman"/>
          <w:szCs w:val="24"/>
          <w:lang w:eastAsia="hr-HR"/>
        </w:rPr>
        <w:t>Obrazloženje</w:t>
      </w:r>
    </w:p>
    <w:p w:rsidRDefault="008F3251" w:rsidP="008F3251" w:rsidR="008F3251">
      <w:pPr>
        <w:jc w:val="center"/>
        <w:rPr>
          <w:rFonts w:eastAsia="Times New Roman"/>
          <w:szCs w:val="24"/>
          <w:lang w:eastAsia="hr-HR"/>
        </w:rPr>
      </w:pPr>
    </w:p>
    <w:p w:rsidRDefault="008F3251" w:rsidP="008F3251" w:rsidR="008F3251">
      <w:pPr>
        <w:jc w:val="both"/>
        <w:rPr>
          <w:rFonts w:eastAsia="Times New Roman"/>
          <w:szCs w:val="24"/>
          <w:lang w:eastAsia="hr-HR"/>
        </w:rPr>
      </w:pPr>
      <w:r>
        <w:rPr>
          <w:rFonts w:eastAsia="Times New Roman"/>
          <w:szCs w:val="24"/>
          <w:lang w:eastAsia="hr-HR"/>
        </w:rPr>
        <w:tab/>
        <w:t>U ovom postupku 12. srpnja 2018. doneseno je rješenje o otvaranju i istovremenom zaključenju stečajnog postupka nad dužnikom HO-INTERIJER d.o.o. te je isto rješenje postalo pravomoćno.</w:t>
      </w:r>
    </w:p>
    <w:p w:rsidRDefault="008F3251" w:rsidP="008F3251" w:rsidR="008F3251">
      <w:pPr>
        <w:jc w:val="both"/>
        <w:rPr>
          <w:rFonts w:eastAsia="Times New Roman"/>
          <w:szCs w:val="24"/>
          <w:lang w:eastAsia="hr-HR"/>
        </w:rPr>
      </w:pPr>
    </w:p>
    <w:p w:rsidRDefault="008F3251" w:rsidP="008F3251" w:rsidR="008F3251">
      <w:pPr>
        <w:jc w:val="both"/>
        <w:rPr>
          <w:rFonts w:eastAsia="Times New Roman"/>
          <w:szCs w:val="24"/>
          <w:lang w:eastAsia="hr-HR"/>
        </w:rPr>
      </w:pPr>
      <w:r>
        <w:rPr>
          <w:rFonts w:eastAsia="Times New Roman"/>
          <w:szCs w:val="24"/>
          <w:lang w:eastAsia="hr-HR"/>
        </w:rPr>
        <w:tab/>
        <w:t>Nakon donošenja navedenog rješenja Financijska agencija obavijestila je sud da je po računu dužnika još 24. listopada 2013. izvršila zapljenu novčanih sredstava u iznosu do 1.632,00 kn temeljem rješenja o osiguranju naplate, kojeg je 10. listopada 2013. donijelo Ministarstvo financija, Porezna uprava, Područni ured Zagreb, Ispostava Samobor</w:t>
      </w:r>
      <w:r w:rsidR="00C47E03">
        <w:rPr>
          <w:rFonts w:eastAsia="Times New Roman"/>
          <w:szCs w:val="24"/>
          <w:lang w:eastAsia="hr-HR"/>
        </w:rPr>
        <w:t>.</w:t>
      </w:r>
    </w:p>
    <w:p w:rsidRDefault="00C47E03" w:rsidP="008F3251" w:rsidR="00C47E03">
      <w:pPr>
        <w:jc w:val="both"/>
        <w:rPr>
          <w:rFonts w:eastAsia="Times New Roman"/>
          <w:szCs w:val="24"/>
          <w:lang w:eastAsia="hr-HR"/>
        </w:rPr>
      </w:pPr>
    </w:p>
    <w:p w:rsidRDefault="00C47E03" w:rsidP="008F3251" w:rsidR="00C47E03">
      <w:pPr>
        <w:jc w:val="both"/>
        <w:rPr>
          <w:rFonts w:eastAsia="Times New Roman"/>
          <w:szCs w:val="24"/>
          <w:lang w:eastAsia="hr-HR"/>
        </w:rPr>
      </w:pPr>
      <w:r>
        <w:rPr>
          <w:rFonts w:eastAsia="Times New Roman"/>
          <w:szCs w:val="24"/>
          <w:lang w:eastAsia="hr-HR"/>
        </w:rPr>
        <w:tab/>
        <w:t>Iz preslike predmetnog rješenja proizlazi da je isto doneseno temeljem odredaba čl. 11. Uredbe o načinu provedbe plaćanja doprinosa prema plaći, primicima uz plaću, odnosno mjesečnoj osnovici za obračun doprinosa temeljem radnog odnosa (Narodne novine, broj: 49/2012., 31/2014., 143/2014., dalje u tekstu: Uredba).</w:t>
      </w:r>
    </w:p>
    <w:p w:rsidRDefault="00C47E03" w:rsidP="008F3251" w:rsidR="00C47E03">
      <w:pPr>
        <w:jc w:val="both"/>
        <w:rPr>
          <w:rFonts w:eastAsia="Times New Roman"/>
          <w:szCs w:val="24"/>
          <w:lang w:eastAsia="hr-HR"/>
        </w:rPr>
      </w:pPr>
    </w:p>
    <w:p w:rsidRDefault="00C47E03" w:rsidP="008F3251" w:rsidR="00C47E03">
      <w:pPr>
        <w:jc w:val="both"/>
        <w:rPr>
          <w:rFonts w:eastAsia="Times New Roman"/>
          <w:szCs w:val="24"/>
          <w:lang w:eastAsia="hr-HR"/>
        </w:rPr>
      </w:pPr>
      <w:r>
        <w:rPr>
          <w:rFonts w:eastAsia="Times New Roman"/>
          <w:szCs w:val="24"/>
          <w:lang w:eastAsia="hr-HR"/>
        </w:rPr>
        <w:lastRenderedPageBreak/>
        <w:tab/>
        <w:t>Odredbom čl. 11. st. 3. Uredbe određeno je da donošenjem rješenja kojim određuje mjere osiguranja naplate Porezna uprava stječe na predmetu osiguranja založno pravo.</w:t>
      </w:r>
    </w:p>
    <w:p w:rsidRDefault="00C47E03" w:rsidP="008F3251" w:rsidR="00C47E03">
      <w:pPr>
        <w:jc w:val="both"/>
        <w:rPr>
          <w:rFonts w:eastAsia="Times New Roman"/>
          <w:szCs w:val="24"/>
          <w:lang w:eastAsia="hr-HR"/>
        </w:rPr>
      </w:pPr>
    </w:p>
    <w:p w:rsidRDefault="00C47E03" w:rsidP="008F3251" w:rsidR="00C47E03">
      <w:pPr>
        <w:jc w:val="both"/>
        <w:rPr>
          <w:rFonts w:eastAsia="Times New Roman"/>
          <w:szCs w:val="24"/>
          <w:lang w:eastAsia="hr-HR"/>
        </w:rPr>
      </w:pPr>
      <w:r>
        <w:rPr>
          <w:rFonts w:eastAsia="Times New Roman"/>
          <w:szCs w:val="24"/>
          <w:lang w:eastAsia="hr-HR"/>
        </w:rPr>
        <w:tab/>
        <w:t>Stoga je Republika Hrvatska stekla založno pravo na novčanim sredstvima dužnika u iznosu od 1.632,00 kn.</w:t>
      </w:r>
    </w:p>
    <w:p w:rsidRDefault="00C47E03" w:rsidP="008F3251" w:rsidR="00C47E03">
      <w:pPr>
        <w:jc w:val="both"/>
        <w:rPr>
          <w:rFonts w:eastAsia="Times New Roman"/>
          <w:szCs w:val="24"/>
          <w:lang w:eastAsia="hr-HR"/>
        </w:rPr>
      </w:pPr>
    </w:p>
    <w:p w:rsidRDefault="00C47E03" w:rsidP="008F3251" w:rsidR="00C47E03">
      <w:pPr>
        <w:jc w:val="both"/>
        <w:rPr>
          <w:rFonts w:eastAsia="Times New Roman"/>
          <w:szCs w:val="24"/>
          <w:lang w:eastAsia="hr-HR"/>
        </w:rPr>
      </w:pPr>
      <w:r>
        <w:rPr>
          <w:rFonts w:eastAsia="Times New Roman"/>
          <w:szCs w:val="24"/>
          <w:lang w:eastAsia="hr-HR"/>
        </w:rPr>
        <w:tab/>
        <w:t xml:space="preserve">U stavku IV. izreke predmetnog rješenja o osiguranju navodi se da mjere osiguranja traju do proteka 15 dana od dana dostave obračunske prijave – obrasca ID koji sadrži zaduženje za doprinose za obvezna osiguranja prema plaći koju je protivnik osiguranja pokušao isplatiti, čime nastupaju uvjeti za ovrhu odnosno do proteka 15 dana od uplate dospjelih zaduženja doprinosa </w:t>
      </w:r>
      <w:r w:rsidR="004F2085">
        <w:rPr>
          <w:rFonts w:eastAsia="Times New Roman"/>
          <w:szCs w:val="24"/>
          <w:lang w:eastAsia="hr-HR"/>
        </w:rPr>
        <w:t>za obvezna osiguranja prema plać</w:t>
      </w:r>
      <w:r>
        <w:rPr>
          <w:rFonts w:eastAsia="Times New Roman"/>
          <w:szCs w:val="24"/>
          <w:lang w:eastAsia="hr-HR"/>
        </w:rPr>
        <w:t>i koju je protivnik osiguranja pokušao isplatiti, čime prestaju razlozi za osiguranje naplate.</w:t>
      </w:r>
    </w:p>
    <w:p w:rsidRDefault="00C47E03" w:rsidP="008F3251" w:rsidR="00C47E03">
      <w:pPr>
        <w:jc w:val="both"/>
        <w:rPr>
          <w:rFonts w:eastAsia="Times New Roman"/>
          <w:szCs w:val="24"/>
          <w:lang w:eastAsia="hr-HR"/>
        </w:rPr>
      </w:pPr>
    </w:p>
    <w:p w:rsidRDefault="00C47E03" w:rsidP="008F3251" w:rsidR="00C47E03">
      <w:pPr>
        <w:jc w:val="both"/>
        <w:rPr>
          <w:rFonts w:eastAsia="Times New Roman"/>
          <w:szCs w:val="24"/>
          <w:lang w:eastAsia="hr-HR"/>
        </w:rPr>
      </w:pPr>
      <w:r>
        <w:rPr>
          <w:rFonts w:eastAsia="Times New Roman"/>
          <w:szCs w:val="24"/>
          <w:lang w:eastAsia="hr-HR"/>
        </w:rPr>
        <w:tab/>
        <w:t xml:space="preserve">Stoga je Republici Hrvatskoj naloženo očitovati se </w:t>
      </w:r>
      <w:r w:rsidR="004F2085">
        <w:rPr>
          <w:rFonts w:eastAsia="Times New Roman"/>
          <w:szCs w:val="24"/>
          <w:lang w:eastAsia="hr-HR"/>
        </w:rPr>
        <w:t>da li predmetno rješenje o osiguranju i dalje proizvodi pravne učinke odnosno da li je protivnik osiguranja, ovdje stečajni dužnik, uplatio dospjele doprinose za obvezna osiguranja ili dostavio ID obrasce</w:t>
      </w:r>
      <w:r w:rsidR="00C42F18">
        <w:rPr>
          <w:rFonts w:eastAsia="Times New Roman"/>
          <w:szCs w:val="24"/>
          <w:lang w:eastAsia="hr-HR"/>
        </w:rPr>
        <w:t xml:space="preserve"> te jesu li se ispunili uvjeti za ovrhu na zaplijenjenim novčanim sredstvima</w:t>
      </w:r>
      <w:r w:rsidR="004F2085">
        <w:rPr>
          <w:rFonts w:eastAsia="Times New Roman"/>
          <w:szCs w:val="24"/>
          <w:lang w:eastAsia="hr-HR"/>
        </w:rPr>
        <w:t>, a sve kako bi se utvrdilo postoji li na navedenim novčanim sredstvima stečajnog dužnika u iznosu od 1.632,00 kn razlučno pravo, što je nužno za utvrđenje daljnjeg postupanja s opisanom naknadno pronađenom imovinom dužnika.</w:t>
      </w:r>
    </w:p>
    <w:p w:rsidRDefault="00C42F18" w:rsidP="008F3251" w:rsidR="00C42F18">
      <w:pPr>
        <w:jc w:val="both"/>
        <w:rPr>
          <w:rFonts w:eastAsia="Times New Roman"/>
          <w:szCs w:val="24"/>
          <w:lang w:eastAsia="hr-HR"/>
        </w:rPr>
      </w:pPr>
    </w:p>
    <w:p w:rsidRDefault="00C42F18" w:rsidP="00C42F18" w:rsidR="00C42F18">
      <w:pPr>
        <w:jc w:val="center"/>
        <w:rPr>
          <w:rFonts w:eastAsia="Times New Roman"/>
          <w:szCs w:val="24"/>
          <w:lang w:eastAsia="hr-HR"/>
        </w:rPr>
      </w:pPr>
      <w:r>
        <w:rPr>
          <w:rFonts w:eastAsia="Times New Roman"/>
          <w:szCs w:val="24"/>
          <w:lang w:eastAsia="hr-HR"/>
        </w:rPr>
        <w:t>U Zagrebu 3. listopada 2018.</w:t>
      </w:r>
    </w:p>
    <w:p w:rsidRDefault="00C42F18" w:rsidP="00C42F18" w:rsidR="00C42F18">
      <w:pPr>
        <w:jc w:val="center"/>
        <w:rPr>
          <w:rFonts w:eastAsia="Times New Roman"/>
          <w:szCs w:val="24"/>
          <w:lang w:eastAsia="hr-HR"/>
        </w:rPr>
      </w:pPr>
    </w:p>
    <w:p w:rsidRDefault="00C42F18" w:rsidP="00C42F18" w:rsidR="00C42F18">
      <w:pPr>
        <w:jc w:val="center"/>
        <w:rPr>
          <w:rFonts w:eastAsia="Times New Roman"/>
          <w:szCs w:val="24"/>
        </w:rPr>
      </w:pPr>
      <w:r>
        <w:rPr>
          <w:rFonts w:eastAsia="Times New Roman"/>
          <w:szCs w:val="24"/>
        </w:rPr>
        <w:t xml:space="preserve">        </w:t>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t xml:space="preserve">         Sutkinja:</w:t>
      </w:r>
    </w:p>
    <w:p w:rsidRDefault="00C42F18" w:rsidP="00C42F18" w:rsidR="00C42F18">
      <w:pPr>
        <w:jc w:val="right"/>
        <w:rPr>
          <w:rFonts w:eastAsia="Times New Roman"/>
          <w:szCs w:val="24"/>
        </w:rPr>
      </w:pPr>
      <w:r>
        <w:rPr>
          <w:rFonts w:eastAsia="Times New Roman"/>
          <w:szCs w:val="24"/>
        </w:rPr>
        <w:t>Ivana Manestar</w:t>
      </w:r>
    </w:p>
    <w:p w:rsidRDefault="00C42F18" w:rsidP="00C42F18" w:rsidR="00C42F18">
      <w:pPr>
        <w:jc w:val="right"/>
        <w:rPr>
          <w:rFonts w:eastAsia="Times New Roman"/>
          <w:szCs w:val="24"/>
        </w:rPr>
      </w:pPr>
    </w:p>
    <w:p w:rsidRDefault="00C42F18" w:rsidP="00C42F18" w:rsidR="00C42F18">
      <w:pPr>
        <w:jc w:val="right"/>
        <w:rPr>
          <w:rFonts w:eastAsia="Times New Roman"/>
          <w:szCs w:val="24"/>
        </w:rPr>
      </w:pPr>
    </w:p>
    <w:p w:rsidRDefault="00C42F18" w:rsidP="00C42F18" w:rsidR="00C42F18" w:rsidRPr="00F35269">
      <w:pPr>
        <w:jc w:val="both"/>
        <w:rPr>
          <w:rFonts w:eastAsia="Times New Roman"/>
          <w:szCs w:val="24"/>
          <w:lang w:eastAsia="hr-HR"/>
        </w:rPr>
      </w:pPr>
    </w:p>
    <w:p w:rsidRDefault="00C42F18" w:rsidP="00C42F18" w:rsidR="00C42F18" w:rsidRPr="00F35269">
      <w:pPr>
        <w:jc w:val="both"/>
        <w:rPr>
          <w:rFonts w:eastAsia="Times New Roman"/>
          <w:szCs w:val="24"/>
          <w:lang w:eastAsia="hr-HR"/>
        </w:rPr>
      </w:pPr>
      <w:r w:rsidRPr="00F35269">
        <w:rPr>
          <w:rFonts w:eastAsia="Times New Roman"/>
          <w:szCs w:val="24"/>
          <w:lang w:eastAsia="hr-HR"/>
        </w:rPr>
        <w:t>UPUTA O PRAVNOM LIJEKU:</w:t>
      </w:r>
    </w:p>
    <w:p w:rsidRDefault="00C42F18" w:rsidP="00C42F18" w:rsidR="00C42F18" w:rsidRPr="00F35269">
      <w:pPr>
        <w:jc w:val="both"/>
        <w:rPr>
          <w:rFonts w:eastAsia="Times New Roman"/>
          <w:szCs w:val="24"/>
          <w:lang w:eastAsia="hr-HR"/>
        </w:rPr>
      </w:pPr>
      <w:r>
        <w:rPr>
          <w:rFonts w:eastAsia="Times New Roman"/>
          <w:szCs w:val="24"/>
          <w:lang w:eastAsia="hr-HR"/>
        </w:rPr>
        <w:t>Protiv zaključka žalba nije dopuštena (čl. 19. st. 7. Stečajnog zakona /Narodne novine, broj: 71/2015., 104/2017./)</w:t>
      </w:r>
      <w:r w:rsidRPr="00F35269">
        <w:rPr>
          <w:rFonts w:eastAsia="Times New Roman"/>
          <w:szCs w:val="24"/>
          <w:lang w:eastAsia="hr-HR"/>
        </w:rPr>
        <w:t>.</w:t>
      </w:r>
    </w:p>
    <w:p w:rsidRDefault="00C42F18" w:rsidP="00C42F18" w:rsidR="00C42F18" w:rsidRPr="00F35269">
      <w:pPr>
        <w:jc w:val="both"/>
        <w:rPr>
          <w:rFonts w:eastAsia="Times New Roman"/>
          <w:szCs w:val="24"/>
          <w:lang w:eastAsia="hr-HR"/>
        </w:rPr>
      </w:pPr>
    </w:p>
    <w:p w:rsidRDefault="00C42F18" w:rsidP="00C42F18" w:rsidR="00C42F18" w:rsidRPr="00F35269">
      <w:pPr>
        <w:jc w:val="both"/>
        <w:rPr>
          <w:rFonts w:eastAsia="Times New Roman"/>
          <w:szCs w:val="24"/>
          <w:lang w:eastAsia="hr-HR"/>
        </w:rPr>
      </w:pPr>
    </w:p>
    <w:p w:rsidRDefault="00C42F18" w:rsidP="00C42F18" w:rsidR="00C42F18" w:rsidRPr="00F35269">
      <w:pPr>
        <w:jc w:val="both"/>
        <w:rPr>
          <w:rFonts w:eastAsia="Times New Roman"/>
          <w:szCs w:val="24"/>
          <w:lang w:eastAsia="hr-HR"/>
        </w:rPr>
      </w:pPr>
    </w:p>
    <w:p w:rsidRDefault="00C42F18" w:rsidP="00C42F18" w:rsidR="00C42F18" w:rsidRPr="00F35269">
      <w:pPr>
        <w:jc w:val="both"/>
        <w:rPr>
          <w:rFonts w:eastAsia="Times New Roman"/>
          <w:szCs w:val="24"/>
          <w:lang w:eastAsia="hr-HR"/>
        </w:rPr>
      </w:pPr>
    </w:p>
    <w:p w:rsidRDefault="00C42F18" w:rsidP="00C42F18" w:rsidR="00C42F18" w:rsidRPr="00F35269">
      <w:pPr>
        <w:jc w:val="both"/>
        <w:rPr>
          <w:rFonts w:eastAsia="Times New Roman"/>
          <w:szCs w:val="24"/>
          <w:lang w:eastAsia="hr-HR"/>
        </w:rPr>
      </w:pPr>
      <w:r w:rsidRPr="00F35269">
        <w:rPr>
          <w:rFonts w:eastAsia="Times New Roman"/>
          <w:szCs w:val="24"/>
          <w:lang w:eastAsia="hr-HR"/>
        </w:rPr>
        <w:t>DNA:</w:t>
      </w:r>
    </w:p>
    <w:p w:rsidRDefault="00C42F18" w:rsidP="00C42F18" w:rsidR="00C42F18">
      <w:pPr>
        <w:jc w:val="both"/>
        <w:rPr>
          <w:rFonts w:eastAsia="Times New Roman"/>
          <w:szCs w:val="24"/>
          <w:lang w:eastAsia="hr-HR"/>
        </w:rPr>
      </w:pPr>
      <w:r w:rsidRPr="00F35269">
        <w:rPr>
          <w:rFonts w:eastAsia="Times New Roman"/>
          <w:szCs w:val="24"/>
          <w:lang w:eastAsia="hr-HR"/>
        </w:rPr>
        <w:t xml:space="preserve">- </w:t>
      </w:r>
      <w:r>
        <w:rPr>
          <w:rFonts w:eastAsia="Times New Roman"/>
          <w:szCs w:val="24"/>
          <w:lang w:eastAsia="hr-HR"/>
        </w:rPr>
        <w:t>ŽDO Zagreb</w:t>
      </w:r>
    </w:p>
    <w:p w:rsidRDefault="00C42F18" w:rsidP="00C42F18" w:rsidR="00C42F18">
      <w:pPr>
        <w:jc w:val="both"/>
        <w:rPr>
          <w:rFonts w:eastAsia="Times New Roman"/>
          <w:szCs w:val="24"/>
          <w:lang w:eastAsia="hr-HR"/>
        </w:rPr>
      </w:pPr>
      <w:r>
        <w:rPr>
          <w:rFonts w:eastAsia="Times New Roman"/>
          <w:szCs w:val="24"/>
          <w:lang w:eastAsia="hr-HR"/>
        </w:rPr>
        <w:t>- e-Oglasna ploča 8 dana</w:t>
      </w:r>
    </w:p>
    <w:p w:rsidRDefault="00131E95" w:rsidR="00131E95"/>
    <w:sectPr w:rsidSect="00C42F18"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2F18" w:rsidP="00C42F18" w:rsidR="00C42F18">
      <w:r>
        <w:separator/>
      </w:r>
    </w:p>
  </w:endnote>
  <w:endnote w:id="0" w:type="continuationSeparator">
    <w:p w:rsidRDefault="00C42F18" w:rsidP="00C42F18" w:rsidR="00C42F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2F18" w:rsidP="00C42F18" w:rsidR="00C42F18">
      <w:r>
        <w:separator/>
      </w:r>
    </w:p>
  </w:footnote>
  <w:footnote w:id="0" w:type="continuationSeparator">
    <w:p w:rsidRDefault="00C42F18" w:rsidP="00C42F18" w:rsidR="00C42F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4085450"/>
      <w:docPartObj>
        <w:docPartGallery w:val="Page Numbers (Top of Page)"/>
        <w:docPartUnique/>
      </w:docPartObj>
    </w:sdtPr>
    <w:sdtEndPr/>
    <w:sdtContent>
      <w:p w:rsidRDefault="00C42F18" w:rsidR="00C42F18">
        <w:pPr>
          <w:pStyle w:val="Zaglavlje"/>
          <w:jc w:val="center"/>
        </w:pPr>
        <w:r>
          <w:fldChar w:fldCharType="begin"/>
        </w:r>
        <w:r>
          <w:instrText>PAGE   \* MERGEFORMAT</w:instrText>
        </w:r>
        <w:r>
          <w:fldChar w:fldCharType="separate"/>
        </w:r>
        <w:r w:rsidR="004F7EE0">
          <w:rPr>
            <w:noProof/>
          </w:rPr>
          <w:t>2</w:t>
        </w:r>
        <w:r>
          <w:fldChar w:fldCharType="end"/>
        </w:r>
      </w:p>
      <w:p w:rsidRDefault="00C42F18" w:rsidP="00C42F18" w:rsidR="00C42F18">
        <w:pPr>
          <w:pStyle w:val="Zaglavlje"/>
          <w:jc w:val="right"/>
        </w:pPr>
        <w:r>
          <w:t>Poslovni broj: 21. St-726/18-16</w:t>
        </w:r>
      </w:p>
    </w:sdtContent>
  </w:sdt>
  <w:p w:rsidRDefault="00C42F18" w:rsidR="00C42F1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1B17"/>
    <w:rsid w:val="001032F4"/>
    <w:rsid w:val="00131E95"/>
    <w:rsid w:val="0019711A"/>
    <w:rsid w:val="00197F24"/>
    <w:rsid w:val="001A1D04"/>
    <w:rsid w:val="0034753A"/>
    <w:rsid w:val="00371B17"/>
    <w:rsid w:val="00457EF8"/>
    <w:rsid w:val="004F2085"/>
    <w:rsid w:val="004F7EE0"/>
    <w:rsid w:val="007A1913"/>
    <w:rsid w:val="0085059C"/>
    <w:rsid w:val="008F3251"/>
    <w:rsid w:val="00950F54"/>
    <w:rsid w:val="009D3B13"/>
    <w:rsid w:val="00A53DC3"/>
    <w:rsid w:val="00B4105F"/>
    <w:rsid w:val="00BC27BD"/>
    <w:rsid w:val="00C42F18"/>
    <w:rsid w:val="00C47E03"/>
    <w:rsid w:val="00C81BC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27BD"/>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C27B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27BD"/>
    <w:rPr>
      <w:rFonts w:cs="Tahoma" w:eastAsia="Calibri" w:hAnsi="Tahoma" w:ascii="Tahoma"/>
      <w:sz w:val="16"/>
      <w:szCs w:val="16"/>
    </w:rPr>
  </w:style>
  <w:style w:styleId="Zaglavlje" w:type="paragraph">
    <w:name w:val="header"/>
    <w:basedOn w:val="Normal"/>
    <w:link w:val="ZaglavljeChar"/>
    <w:uiPriority w:val="99"/>
    <w:unhideWhenUsed/>
    <w:rsid w:val="00C42F18"/>
    <w:pPr>
      <w:tabs>
        <w:tab w:pos="4536" w:val="center"/>
        <w:tab w:pos="9072" w:val="right"/>
      </w:tabs>
    </w:pPr>
  </w:style>
  <w:style w:customStyle="true" w:styleId="ZaglavljeChar" w:type="character">
    <w:name w:val="Zaglavlje Char"/>
    <w:basedOn w:val="Zadanifontodlomka"/>
    <w:link w:val="Zaglavlje"/>
    <w:uiPriority w:val="99"/>
    <w:rsid w:val="00C42F18"/>
    <w:rPr>
      <w:rFonts w:cs="Times New Roman" w:eastAsia="Calibri"/>
    </w:rPr>
  </w:style>
  <w:style w:styleId="Podnoje" w:type="paragraph">
    <w:name w:val="footer"/>
    <w:basedOn w:val="Normal"/>
    <w:link w:val="PodnojeChar"/>
    <w:uiPriority w:val="99"/>
    <w:unhideWhenUsed/>
    <w:rsid w:val="00C42F18"/>
    <w:pPr>
      <w:tabs>
        <w:tab w:pos="4536" w:val="center"/>
        <w:tab w:pos="9072" w:val="right"/>
      </w:tabs>
    </w:pPr>
  </w:style>
  <w:style w:customStyle="true" w:styleId="PodnojeChar" w:type="character">
    <w:name w:val="Podnožje Char"/>
    <w:basedOn w:val="Zadanifontodlomka"/>
    <w:link w:val="Podnoje"/>
    <w:uiPriority w:val="99"/>
    <w:rsid w:val="00C42F18"/>
    <w:rPr>
      <w:rFonts w:cs="Times New Roman" w:eastAsia="Calibri"/>
    </w:rPr>
  </w:style>
  <w:style w:styleId="Tekstrezerviranogmjesta" w:type="character">
    <w:name w:val="Placeholder Text"/>
    <w:basedOn w:val="Zadanifontodlomka"/>
    <w:uiPriority w:val="99"/>
    <w:semiHidden/>
    <w:rsid w:val="004F7EE0"/>
    <w:rPr>
      <w:color w:val="808080"/>
      <w:bdr w:space="0" w:sz="0" w:color="auto" w:val="none"/>
      <w:shd w:fill="auto" w:color="auto" w:val="clear"/>
    </w:rPr>
  </w:style>
  <w:style w:customStyle="true" w:styleId="eSPISCCParagraphDefaultFont" w:type="character">
    <w:name w:val="eSPIS_CC_Paragraph Default Font"/>
    <w:basedOn w:val="Zadanifontodlomka"/>
    <w:rsid w:val="004F7EE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F7EE0"/>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F7EE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F7EE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27BD"/>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C27BD"/>
    <w:rPr>
      <w:rFonts w:ascii="Tahoma" w:cs="Tahoma" w:hAnsi="Tahoma"/>
      <w:sz w:val="16"/>
      <w:szCs w:val="16"/>
    </w:rPr>
  </w:style>
  <w:style w:customStyle="1" w:styleId="TekstbaloniaChar" w:type="character">
    <w:name w:val="Tekst balončića Char"/>
    <w:basedOn w:val="Zadanifontodlomka"/>
    <w:link w:val="Tekstbalonia"/>
    <w:uiPriority w:val="99"/>
    <w:semiHidden/>
    <w:rsid w:val="00BC27BD"/>
    <w:rPr>
      <w:rFonts w:ascii="Tahoma" w:cs="Tahoma" w:eastAsia="Calibri" w:hAnsi="Tahoma"/>
      <w:sz w:val="16"/>
      <w:szCs w:val="16"/>
    </w:rPr>
  </w:style>
  <w:style w:styleId="Zaglavlje" w:type="paragraph">
    <w:name w:val="header"/>
    <w:basedOn w:val="Normal"/>
    <w:link w:val="ZaglavljeChar"/>
    <w:uiPriority w:val="99"/>
    <w:unhideWhenUsed/>
    <w:rsid w:val="00C42F18"/>
    <w:pPr>
      <w:tabs>
        <w:tab w:pos="4536" w:val="center"/>
        <w:tab w:pos="9072" w:val="right"/>
      </w:tabs>
    </w:pPr>
  </w:style>
  <w:style w:customStyle="1" w:styleId="ZaglavljeChar" w:type="character">
    <w:name w:val="Zaglavlje Char"/>
    <w:basedOn w:val="Zadanifontodlomka"/>
    <w:link w:val="Zaglavlje"/>
    <w:uiPriority w:val="99"/>
    <w:rsid w:val="00C42F18"/>
    <w:rPr>
      <w:rFonts w:cs="Times New Roman" w:eastAsia="Calibri"/>
    </w:rPr>
  </w:style>
  <w:style w:styleId="Podnoje" w:type="paragraph">
    <w:name w:val="footer"/>
    <w:basedOn w:val="Normal"/>
    <w:link w:val="PodnojeChar"/>
    <w:uiPriority w:val="99"/>
    <w:unhideWhenUsed/>
    <w:rsid w:val="00C42F18"/>
    <w:pPr>
      <w:tabs>
        <w:tab w:pos="4536" w:val="center"/>
        <w:tab w:pos="9072" w:val="right"/>
      </w:tabs>
    </w:pPr>
  </w:style>
  <w:style w:customStyle="1" w:styleId="PodnojeChar" w:type="character">
    <w:name w:val="Podnožje Char"/>
    <w:basedOn w:val="Zadanifontodlomka"/>
    <w:link w:val="Podnoje"/>
    <w:uiPriority w:val="99"/>
    <w:rsid w:val="00C42F18"/>
    <w:rPr>
      <w:rFonts w:cs="Times New Roman" w:eastAsia="Calibri"/>
    </w:rPr>
  </w:style>
  <w:style w:styleId="Tekstrezerviranogmjesta" w:type="character">
    <w:name w:val="Placeholder Text"/>
    <w:basedOn w:val="Zadanifontodlomka"/>
    <w:uiPriority w:val="99"/>
    <w:semiHidden/>
    <w:rsid w:val="004F7EE0"/>
    <w:rPr>
      <w:color w:val="808080"/>
      <w:bdr w:color="auto" w:space="0" w:sz="0" w:val="none"/>
      <w:shd w:color="auto" w:fill="auto" w:val="clear"/>
    </w:rPr>
  </w:style>
  <w:style w:customStyle="1" w:styleId="eSPISCCParagraphDefaultFont" w:type="character">
    <w:name w:val="eSPIS_CC_Paragraph Default Font"/>
    <w:basedOn w:val="Zadanifontodlomka"/>
    <w:rsid w:val="004F7EE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F7EE0"/>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F7EE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F7EE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726</izvorni_sadrzaj>
    <derivirana_varijabla naziv="DomainObject.Predmet.Broj_1">726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2018.</izvorni_sadrzaj>
    <derivirana_varijabla naziv="DomainObject.Predmet.DatumOsnivanja_1">13.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srpnja 2018.</izvorni_sadrzaj>
    <derivirana_varijabla naziv="DomainObject.Predmet.DatumRjesavanja_1">12.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St-726/2018</izvorni_sadrzaj>
    <derivirana_varijabla naziv="DomainObject.Predmet.OznakaBroj_1">St-726/2018</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74587172271</izvorni_sadrzaj>
    <derivirana_varijabla naziv="DomainObject.Predmet.PredmetRijesio.Oib_1">74587172271</derivirana_varijabla>
  </DomainObject.Predmet.PredmetRijesio.Oib>
  <DomainObject.Predmet.PredmetRijesio.Prezime>
    <izvorni_sadrzaj>Manestar</izvorni_sadrzaj>
    <derivirana_varijabla naziv="DomainObject.Predmet.PredmetRijesio.Prezime_1">Manestar</derivirana_varijabla>
  </DomainObject.Predmet.PredmetRijesio.Prezime>
  <DomainObject.Predmet.PrimjedbaSuca>
    <izvorni_sadrzaj/>
    <derivirana_varijabla naziv="DomainObject.Predmet.PrimjedbaSuca_1"/>
  </DomainObject.Predmet.PrimjedbaSuca>
  <DomainObject.Predmet.ProtustrankaFormated>
    <izvorni_sadrzaj>  HO-INTERIJER d.o.o.</izvorni_sadrzaj>
    <derivirana_varijabla naziv="DomainObject.Predmet.ProtustrankaFormated_1">  HO-INTERIJER d.o.o.</derivirana_varijabla>
  </DomainObject.Predmet.ProtustrankaFormated>
  <DomainObject.Predmet.ProtustrankaFormatedOIB>
    <izvorni_sadrzaj>  HO-INTERIJER d.o.o., OIB 86532973200</izvorni_sadrzaj>
    <derivirana_varijabla naziv="DomainObject.Predmet.ProtustrankaFormatedOIB_1">  HO-INTERIJER d.o.o., OIB 86532973200</derivirana_varijabla>
  </DomainObject.Predmet.ProtustrankaFormatedOIB>
  <DomainObject.Predmet.ProtustrankaFormatedWithAdress>
    <izvorni_sadrzaj> HO-INTERIJER d.o.o., Tatjane Marinić 23, 10430 Samobor</izvorni_sadrzaj>
    <derivirana_varijabla naziv="DomainObject.Predmet.ProtustrankaFormatedWithAdress_1"> HO-INTERIJER d.o.o., Tatjane Marinić 23, 10430 Samobor</derivirana_varijabla>
  </DomainObject.Predmet.ProtustrankaFormatedWithAdress>
  <DomainObject.Predmet.ProtustrankaFormatedWithAdressOIB>
    <izvorni_sadrzaj> HO-INTERIJER d.o.o., OIB 86532973200, Tatjane Marinić 23, 10430 Samobor</izvorni_sadrzaj>
    <derivirana_varijabla naziv="DomainObject.Predmet.ProtustrankaFormatedWithAdressOIB_1"> HO-INTERIJER d.o.o., OIB 86532973200, Tatjane Marinić 23, 10430 Samobor</derivirana_varijabla>
  </DomainObject.Predmet.ProtustrankaFormatedWithAdressOIB>
  <DomainObject.Predmet.ProtustrankaWithAdress>
    <izvorni_sadrzaj>HO-INTERIJER d.o.o. Tatjane Marinić 23, 10430 Samobor</izvorni_sadrzaj>
    <derivirana_varijabla naziv="DomainObject.Predmet.ProtustrankaWithAdress_1">HO-INTERIJER d.o.o. Tatjane Marinić 23, 10430 Samobor</derivirana_varijabla>
  </DomainObject.Predmet.ProtustrankaWithAdress>
  <DomainObject.Predmet.ProtustrankaWithAdressOIB>
    <izvorni_sadrzaj>HO-INTERIJER d.o.o., OIB 86532973200, Tatjane Marinić 23, 10430 Samobor</izvorni_sadrzaj>
    <derivirana_varijabla naziv="DomainObject.Predmet.ProtustrankaWithAdressOIB_1">HO-INTERIJER d.o.o., OIB 86532973200, Tatjane Marinić 23, 10430 Samobor</derivirana_varijabla>
  </DomainObject.Predmet.ProtustrankaWithAdressOIB>
  <DomainObject.Predmet.ProtustrankaNazivFormated>
    <izvorni_sadrzaj>HO-INTERIJER d.o.o.</izvorni_sadrzaj>
    <derivirana_varijabla naziv="DomainObject.Predmet.ProtustrankaNazivFormated_1">HO-INTERIJER d.o.o.</derivirana_varijabla>
  </DomainObject.Predmet.ProtustrankaNazivFormated>
  <DomainObject.Predmet.ProtustrankaNazivFormatedOIB>
    <izvorni_sadrzaj>HO-INTERIJER d.o.o., OIB 86532973200</izvorni_sadrzaj>
    <derivirana_varijabla naziv="DomainObject.Predmet.ProtustrankaNazivFormatedOIB_1">HO-INTERIJER d.o.o., OIB 86532973200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 Zagreb</izvorni_sadrzaj>
    <derivirana_varijabla naziv="DomainObject.Predmet.StrankaFormated_1">  FINA Regionalni centa Zagreb</derivirana_varijabla>
  </DomainObject.Predmet.StrankaFormated>
  <DomainObject.Predmet.StrankaFormatedOIB>
    <izvorni_sadrzaj>  FINA Regionalni centa Zagreb, OIB 85821130368</izvorni_sadrzaj>
    <derivirana_varijabla naziv="DomainObject.Predmet.StrankaFormatedOIB_1">  FINA Regionalni centa Zagreb, OIB 85821130368</derivirana_varijabla>
  </DomainObject.Predmet.StrankaFormatedOIB>
  <DomainObject.Predmet.StrankaFormatedWithAdress>
    <izvorni_sadrzaj> FINA Regionalni centa Zagreb, Trg svibanjskih žrtava 1995 br. 1, 10000 Zagreb</izvorni_sadrzaj>
    <derivirana_varijabla naziv="DomainObject.Predmet.StrankaFormatedWithAdress_1"> FINA Regionalni centa Zagreb, Trg svibanjskih žrtava 1995 br. 1, 10000 Zagreb</derivirana_varijabla>
  </DomainObject.Predmet.StrankaFormatedWithAdress>
  <DomainObject.Predmet.StrankaFormatedWithAdressOIB>
    <izvorni_sadrzaj> FINA Regionalni centa Zagreb, OIB 85821130368, Trg svibanjskih žrtava 1995 br. 1, 10000 Zagreb</izvorni_sadrzaj>
    <derivirana_varijabla naziv="DomainObject.Predmet.StrankaFormatedWithAdressOIB_1"> FINA Regionalni centa Zagreb, OIB 85821130368, Trg svibanjskih žrtava 1995 br. 1, 10000 Zagreb</derivirana_varijabla>
  </DomainObject.Predmet.StrankaFormatedWithAdressOIB>
  <DomainObject.Predmet.StrankaWithAdress>
    <izvorni_sadrzaj>FINA Regionalni centa Zagreb Trg svibanjskih žrtava 1995 br. 1,10000 Zagreb</izvorni_sadrzaj>
    <derivirana_varijabla naziv="DomainObject.Predmet.StrankaWithAdress_1">FINA Regionalni centa Zagreb Trg svibanjskih žrtava 1995 br. 1,10000 Zagreb</derivirana_varijabla>
  </DomainObject.Predmet.StrankaWithAdress>
  <DomainObject.Predmet.StrankaWithAdressOIB>
    <izvorni_sadrzaj>FINA Regionalni centa Zagreb, OIB 85821130368, Trg svibanjskih žrtava 1995 br. 1,10000 Zagreb</izvorni_sadrzaj>
    <derivirana_varijabla naziv="DomainObject.Predmet.StrankaWithAdressOIB_1">FINA Regionalni centa Zagreb, OIB 85821130368, Trg svibanjskih žrtava 1995 br. 1,10000 Zagreb</derivirana_varijabla>
  </DomainObject.Predmet.StrankaWithAdressOIB>
  <DomainObject.Predmet.StrankaNazivFormated>
    <izvorni_sadrzaj>FINA Regionalni centa Zagreb</izvorni_sadrzaj>
    <derivirana_varijabla naziv="DomainObject.Predmet.StrankaNazivFormated_1">FINA Regionalni centa Zagreb</derivirana_varijabla>
  </DomainObject.Predmet.StrankaNazivFormated>
  <DomainObject.Predmet.StrankaNazivFormatedOIB>
    <izvorni_sadrzaj>FINA Regionalni centa Zagreb, OIB 85821130368</izvorni_sadrzaj>
    <derivirana_varijabla naziv="DomainObject.Predmet.StrankaNazivFormatedOIB_1">FINA Regionalni centa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 Zagreb</item>
    </izvorni_sadrzaj>
    <derivirana_varijabla naziv="DomainObject.Predmet.StrankaListFormated_1">
      <item>FINA Regionalni centa Zagreb</item>
    </derivirana_varijabla>
  </DomainObject.Predmet.StrankaListFormated>
  <DomainObject.Predmet.StrankaListFormatedOIB>
    <izvorni_sadrzaj>
      <item>FINA Regionalni centa Zagreb, OIB 85821130368</item>
    </izvorni_sadrzaj>
    <derivirana_varijabla naziv="DomainObject.Predmet.StrankaListFormatedOIB_1">
      <item>FINA Regionalni centa Zagreb, OIB 85821130368</item>
    </derivirana_varijabla>
  </DomainObject.Predmet.StrankaListFormatedOIB>
  <DomainObject.Predmet.StrankaListFormatedWithAdress>
    <izvorni_sadrzaj>
      <item>FINA Regionalni centa Zagreb, Trg svibanjskih žrtava 1995 br. 1, 10000 Zagreb</item>
    </izvorni_sadrzaj>
    <derivirana_varijabla naziv="DomainObject.Predmet.StrankaListFormatedWithAdress_1">
      <item>FINA Regionalni centa Zagreb, Trg svibanjskih žrtava 1995 br. 1, 10000 Zagreb</item>
    </derivirana_varijabla>
  </DomainObject.Predmet.StrankaListFormatedWithAdress>
  <DomainObject.Predmet.StrankaListFormatedWithAdressOIB>
    <izvorni_sadrzaj>
      <item>FINA Regionalni centa Zagreb, OIB 85821130368, Trg svibanjskih žrtava 1995 br. 1, 10000 Zagreb</item>
    </izvorni_sadrzaj>
    <derivirana_varijabla naziv="DomainObject.Predmet.StrankaListFormatedWithAdressOIB_1">
      <item>FINA Regionalni centa Zagreb, OIB 85821130368, Trg svibanjskih žrtava 1995 br. 1, 10000 Zagreb</item>
    </derivirana_varijabla>
  </DomainObject.Predmet.StrankaListFormatedWithAdressOIB>
  <DomainObject.Predmet.StrankaListNazivFormated>
    <izvorni_sadrzaj>
      <item>FINA Regionalni centa Zagreb</item>
    </izvorni_sadrzaj>
    <derivirana_varijabla naziv="DomainObject.Predmet.StrankaListNazivFormated_1">
      <item>FINA Regionalni centa Zagreb</item>
    </derivirana_varijabla>
  </DomainObject.Predmet.StrankaListNazivFormated>
  <DomainObject.Predmet.StrankaListNazivFormatedOIB>
    <izvorni_sadrzaj>
      <item>FINA Regionalni centa Zagreb, OIB 85821130368</item>
    </izvorni_sadrzaj>
    <derivirana_varijabla naziv="DomainObject.Predmet.StrankaListNazivFormatedOIB_1">
      <item>FINA Regionalni centa Zagreb, OIB 85821130368</item>
    </derivirana_varijabla>
  </DomainObject.Predmet.StrankaListNazivFormatedOIB>
  <DomainObject.Predmet.ProtuStrankaListFormated>
    <izvorni_sadrzaj>
      <item>HO-INTERIJER d.o.o.</item>
    </izvorni_sadrzaj>
    <derivirana_varijabla naziv="DomainObject.Predmet.ProtuStrankaListFormated_1">
      <item>HO-INTERIJER d.o.o.</item>
    </derivirana_varijabla>
  </DomainObject.Predmet.ProtuStrankaListFormated>
  <DomainObject.Predmet.ProtuStrankaListFormatedOIB>
    <izvorni_sadrzaj>
      <item>HO-INTERIJER d.o.o., OIB 86532973200</item>
    </izvorni_sadrzaj>
    <derivirana_varijabla naziv="DomainObject.Predmet.ProtuStrankaListFormatedOIB_1">
      <item>HO-INTERIJER d.o.o., OIB 86532973200</item>
    </derivirana_varijabla>
  </DomainObject.Predmet.ProtuStrankaListFormatedOIB>
  <DomainObject.Predmet.ProtuStrankaListFormatedWithAdress>
    <izvorni_sadrzaj>
      <item>HO-INTERIJER d.o.o., Tatjane Marinić 23, 10430 Samobor</item>
    </izvorni_sadrzaj>
    <derivirana_varijabla naziv="DomainObject.Predmet.ProtuStrankaListFormatedWithAdress_1">
      <item>HO-INTERIJER d.o.o., Tatjane Marinić 23, 10430 Samobor</item>
    </derivirana_varijabla>
  </DomainObject.Predmet.ProtuStrankaListFormatedWithAdress>
  <DomainObject.Predmet.ProtuStrankaListFormatedWithAdressOIB>
    <izvorni_sadrzaj>
      <item>HO-INTERIJER d.o.o., OIB 86532973200, Tatjane Marinić 23, 10430 Samobor</item>
    </izvorni_sadrzaj>
    <derivirana_varijabla naziv="DomainObject.Predmet.ProtuStrankaListFormatedWithAdressOIB_1">
      <item>HO-INTERIJER d.o.o., OIB 86532973200, Tatjane Marinić 23, 10430 Samobor</item>
    </derivirana_varijabla>
  </DomainObject.Predmet.ProtuStrankaListFormatedWithAdressOIB>
  <DomainObject.Predmet.ProtuStrankaListNazivFormated>
    <izvorni_sadrzaj>
      <item>HO-INTERIJER d.o.o.</item>
    </izvorni_sadrzaj>
    <derivirana_varijabla naziv="DomainObject.Predmet.ProtuStrankaListNazivFormated_1">
      <item>HO-INTERIJER d.o.o.</item>
    </derivirana_varijabla>
  </DomainObject.Predmet.ProtuStrankaListNazivFormated>
  <DomainObject.Predmet.ProtuStrankaListNazivFormatedOIB>
    <izvorni_sadrzaj>
      <item>HO-INTERIJER d.o.o., OIB 86532973200</item>
    </izvorni_sadrzaj>
    <derivirana_varijabla naziv="DomainObject.Predmet.ProtuStrankaListNazivFormatedOIB_1">
      <item>HO-INTERIJER d.o.o., OIB 86532973200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FINA Regionalni centa Zagreb</izvorni_sadrzaj>
    <derivirana_varijabla naziv="DomainObject.Predmet.StrankaIDrugi_1">FINA Regionalni centa Zagreb</derivirana_varijabla>
  </DomainObject.Predmet.StrankaIDrugi>
  <DomainObject.Predmet.ProtustrankaIDrugi>
    <izvorni_sadrzaj>HO-INTERIJER d.o.o.</izvorni_sadrzaj>
    <derivirana_varijabla naziv="DomainObject.Predmet.ProtustrankaIDrugi_1">HO-INTERIJER d.o.o.</derivirana_varijabla>
  </DomainObject.Predmet.ProtustrankaIDrugi>
  <DomainObject.Predmet.StrankaIDrugiAdressOIB>
    <izvorni_sadrzaj>FINA Regionalni centa Zagreb, OIB 85821130368, Trg svibanjskih žrtava 1995 br. 1, 10000 Zagreb</izvorni_sadrzaj>
    <derivirana_varijabla naziv="DomainObject.Predmet.StrankaIDrugiAdressOIB_1">FINA Regionalni centa Zagreb, OIB 85821130368, Trg svibanjskih žrtava 1995 br. 1, 10000 Zagreb</derivirana_varijabla>
  </DomainObject.Predmet.StrankaIDrugiAdressOIB>
  <DomainObject.Predmet.ProtustrankaIDrugiAdressOIB>
    <izvorni_sadrzaj>HO-INTERIJER d.o.o., OIB 86532973200, Tatjane Marinić 23, 10430 Samobor</izvorni_sadrzaj>
    <derivirana_varijabla naziv="DomainObject.Predmet.ProtustrankaIDrugiAdressOIB_1">HO-INTERIJER d.o.o., OIB 86532973200, Tatjane Marinić 23,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srpnja 2018.</izvorni_sadrzaj>
    <derivirana_varijabla naziv="DomainObject.Predmet.OdlukaRjesenje.DatumDonosenjaOdluke_1">12. srpnja 2018.</derivirana_varijabla>
  </DomainObject.Predmet.OdlukaRjesenje.DatumDonosenjaOdluke>
  <DomainObject.Predmet.OdlukaRjesenje.DatumPravomocnosti>
    <izvorni_sadrzaj>31. srpnja 2018.</izvorni_sadrzaj>
    <derivirana_varijabla naziv="DomainObject.Predmet.OdlukaRjesenje.DatumPravomocnosti_1">31. srpnja 2018.</derivirana_varijabla>
  </DomainObject.Predmet.OdlukaRjesenje.DatumPravomocnosti>
  <DomainObject.Predmet.OdlukaRjesenje.Oznaka>
    <izvorni_sadrzaj>St-726/2018-7</izvorni_sadrzaj>
    <derivirana_varijabla naziv="DomainObject.Predmet.OdlukaRjesenje.Oznaka_1">St-726/2018-7</derivirana_varijabla>
  </DomainObject.Predmet.OdlukaRjesenje.Oznaka>
  <DomainObject.Predmet.SudioniciListNaziv>
    <izvorni_sadrzaj>
      <item>FINA Regionalni centa Zagreb</item>
      <item>HO-INTERIJER d.o.o.</item>
    </izvorni_sadrzaj>
    <derivirana_varijabla naziv="DomainObject.Predmet.SudioniciListNaziv_1">
      <item>FINA Regionalni centa Zagreb</item>
      <item>HO-INTERIJER d.o.o.</item>
    </derivirana_varijabla>
  </DomainObject.Predmet.SudioniciListNaziv>
  <DomainObject.Predmet.SudioniciListAdressOIB>
    <izvorni_sadrzaj>
      <item>FINA Regionalni centa Zagreb, OIB 85821130368, Trg svibanjskih žrtava 1995 br. 1,10000 Zagreb</item>
      <item>HO-INTERIJER d.o.o., OIB 86532973200, Tatjane Marinić 23,10430 Samobor</item>
    </izvorni_sadrzaj>
    <derivirana_varijabla naziv="DomainObject.Predmet.SudioniciListAdressOIB_1">
      <item>FINA Regionalni centa Zagreb, OIB 85821130368, Trg svibanjskih žrtava 1995 br. 1,10000 Zagreb</item>
      <item>HO-INTERIJER d.o.o., OIB 86532973200, Tatjane Marinić 23,10430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86532973200</item>
    </izvorni_sadrzaj>
    <derivirana_varijabla naziv="DomainObject.Predmet.SudioniciListNazivOIB_1">
      <item>, OIB 85821130368</item>
      <item>, OIB 86532973200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507</properties:Words>
  <properties:Characters>2876</properties:Characters>
  <properties:Lines>83</properties:Lines>
  <properties:Paragraphs>25</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2018-10-03T14:14:00Z</dcterms:created>
  <dc:creator>Ivana Manestar</dc:creator>
  <dc:description/>
  <cp:keywords/>
  <cp:lastModifiedBy>Ivana Manestar</cp:lastModifiedBy>
  <dcterms:modified xmlns:xsi="http://www.w3.org/2001/XMLSchema-instance" xsi:type="dcterms:W3CDTF">2018-10-03T14:43:00Z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(St-726-18-RH, zapljena sredstava u njenu korist.docx)</vt:lpwstr>
  </prop:property>
  <prop:property name="CC_coloring" pid="4" fmtid="{D5CDD505-2E9C-101B-9397-08002B2CF9AE}">
    <vt:bool>false</vt:bool>
  </prop:property>
  <prop:property name="BrojStranica" pid="5" fmtid="{D5CDD505-2E9C-101B-9397-08002B2CF9AE}">
    <vt:i4>2</vt:i4>
  </prop:property>
</prop:Properties>
</file>