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519e" w14:paraId="567519e" w:rsidRDefault="00402CD3" w:rsidP="00402CD3" w:rsidR="00402CD3">
      <w:pPr>
        <w:pStyle w:val="Bezproreda"/>
        <w:jc w:val="center"/>
        <w15:collapsed w:val="false"/>
        <w:rPr>
          <w:rFonts w:hAnsi="Century Gothic" w:ascii="Century Gothic"/>
          <w:noProof/>
        </w:rPr>
      </w:pPr>
      <w:bookmarkStart w:name="_GoBack" w:id="0"/>
      <w:bookmarkEnd w:id="0"/>
      <w:r>
        <w:rPr>
          <w:rFonts w:hAnsi="Century Gothic" w:ascii="Century Gothic"/>
        </w:rPr>
        <w:t>MEDI TORANJ društvo s ograničenom odgovornošću</w:t>
      </w:r>
      <w:r>
        <w:rPr>
          <w:rFonts w:hAnsi="Century Gothic" w:ascii="Century Gothic"/>
          <w:noProof/>
        </w:rPr>
        <w:t xml:space="preserve"> za medicinsku djelatnost, </w:t>
      </w:r>
    </w:p>
    <w:p w:rsidRDefault="00402CD3" w:rsidP="00402CD3" w:rsidR="00402CD3">
      <w:pPr>
        <w:pStyle w:val="Bezproreda"/>
        <w:jc w:val="center"/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usluge i trgovinu u stečaju, Zagreb, Ksaverska cesta 59</w:t>
      </w:r>
    </w:p>
    <w:p w:rsidRDefault="00402CD3" w:rsidP="00402CD3" w:rsidR="00402CD3">
      <w:pPr>
        <w:pStyle w:val="Bezproreda"/>
        <w:jc w:val="center"/>
        <w:rPr>
          <w:rFonts w:hAnsi="Century Gothic" w:ascii="Century Gothic"/>
          <w:color w:themeShade="BF" w:themeColor="accent2" w:val="943634"/>
        </w:rPr>
      </w:pPr>
      <w:r>
        <w:rPr>
          <w:rFonts w:hAnsi="Century Gothic" w:ascii="Century Gothic"/>
        </w:rPr>
        <w:t xml:space="preserve">OIB: </w:t>
      </w:r>
      <w:r>
        <w:rPr>
          <w:rFonts w:hAnsi="Century Gothic" w:ascii="Century Gothic"/>
          <w:noProof/>
        </w:rPr>
        <w:t>29683817092</w:t>
      </w:r>
      <w:r>
        <w:rPr>
          <w:rFonts w:hAnsi="Century Gothic" w:ascii="Century Gothic"/>
        </w:rPr>
        <w:t xml:space="preserve">,  MBS: </w:t>
      </w:r>
      <w:r>
        <w:rPr>
          <w:rFonts w:hAnsi="Century Gothic" w:ascii="Century Gothic"/>
          <w:lang w:val="pl-PL"/>
        </w:rPr>
        <w:t>080753391,  1</w:t>
      </w:r>
      <w:r>
        <w:rPr>
          <w:rFonts w:hAnsi="Century Gothic" w:ascii="Century Gothic"/>
        </w:rPr>
        <w:t xml:space="preserve"> St-389/2017</w:t>
      </w:r>
    </w:p>
    <w:p w:rsidRDefault="00402CD3" w:rsidP="00402CD3" w:rsidR="00402CD3">
      <w:pPr>
        <w:pStyle w:val="Bezproreda"/>
        <w:jc w:val="both"/>
        <w:rPr>
          <w:rFonts w:hAnsi="Century Gothic" w:ascii="Century Gothic"/>
          <w:color w:themeShade="BF" w:themeColor="accent2" w:val="943634"/>
          <w:u w:val="double"/>
        </w:rPr>
      </w:pPr>
      <w:r>
        <w:rPr>
          <w:rFonts w:hAnsi="Century Gothic" w:ascii="Century Gothic"/>
          <w:color w:themeShade="BF" w:themeColor="accent2" w:val="943634"/>
          <w:u w:val="double"/>
        </w:rPr>
        <w:t>_______________________________________________________________________________</w:t>
      </w:r>
    </w:p>
    <w:p w:rsidRDefault="00402CD3" w:rsidP="00402CD3" w:rsidR="00402CD3">
      <w:pPr>
        <w:pStyle w:val="Bezproreda"/>
        <w:jc w:val="both"/>
        <w:rPr>
          <w:rFonts w:hAnsi="Century Gothic" w:ascii="Century Gothic"/>
          <w:color w:themeShade="BF" w:themeColor="accent2" w:val="943634"/>
        </w:rPr>
      </w:pPr>
    </w:p>
    <w:p w:rsidRDefault="00402CD3" w:rsidP="00402CD3" w:rsidR="00402CD3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8"/>
        </w:rPr>
      </w:pPr>
    </w:p>
    <w:p w:rsidRDefault="00402CD3" w:rsidP="00402CD3" w:rsidR="00402CD3">
      <w:pPr>
        <w:jc w:val="center"/>
        <w:rPr>
          <w:rFonts w:hAnsi="Century Gothic" w:ascii="Century Gothic"/>
          <w:b/>
          <w:sz w:val="24"/>
          <w:szCs w:val="24"/>
        </w:rPr>
      </w:pPr>
      <w:r>
        <w:rPr>
          <w:rFonts w:cs="Times New Roman" w:eastAsia="Calibri" w:hAnsi="Century Gothic" w:ascii="Century Gothic"/>
          <w:sz w:val="24"/>
          <w:szCs w:val="24"/>
          <w:lang w:val="pl-PL"/>
        </w:rPr>
        <w:t xml:space="preserve"> </w:t>
      </w:r>
      <w:r>
        <w:rPr>
          <w:rFonts w:hAnsi="Century Gothic" w:ascii="Century Gothic"/>
          <w:b/>
          <w:sz w:val="24"/>
          <w:szCs w:val="24"/>
        </w:rPr>
        <w:t>POPIS PREDMETA STEČAJNE MASE  ( čl. 221.  SZ )</w:t>
      </w:r>
    </w:p>
    <w:p w:rsidRDefault="00402CD3" w:rsidP="00402CD3" w:rsidR="00402CD3">
      <w:pPr>
        <w:jc w:val="center"/>
        <w:rPr>
          <w:rFonts w:hAnsi="Century Gothic" w:ascii="Century Gothic"/>
          <w:b/>
          <w:sz w:val="26"/>
          <w:szCs w:val="26"/>
        </w:rPr>
      </w:pPr>
    </w:p>
    <w:tbl>
      <w:tblPr>
        <w:tblW w:type="dxa" w:w="876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86"/>
        <w:gridCol w:w="5383"/>
        <w:gridCol w:w="2691"/>
      </w:tblGrid>
      <w:tr w:rsidTr="00402CD3" w:rsidR="00402CD3">
        <w:trPr>
          <w:jc w:val="center"/>
        </w:trPr>
        <w:tc>
          <w:tcPr>
            <w:tcW w:type="dxa" w:w="686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</w:tcPr>
          <w:p w:rsidRDefault="00402CD3" w:rsidR="00402CD3">
            <w:pPr>
              <w:jc w:val="center"/>
              <w:rPr>
                <w:rFonts w:hAnsi="Century Gothic" w:ascii="Century Gothic"/>
                <w:b/>
              </w:rPr>
            </w:pPr>
          </w:p>
          <w:p w:rsidRDefault="00402CD3" w:rsidR="00402CD3">
            <w:pPr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>r.br.</w:t>
            </w:r>
          </w:p>
        </w:tc>
        <w:tc>
          <w:tcPr>
            <w:tcW w:type="dxa" w:w="538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</w:tcPr>
          <w:p w:rsidRDefault="00402CD3" w:rsidR="00402CD3">
            <w:pPr>
              <w:jc w:val="center"/>
              <w:rPr>
                <w:rFonts w:hAnsi="Century Gothic" w:ascii="Century Gothic"/>
                <w:b/>
                <w:caps/>
              </w:rPr>
            </w:pPr>
          </w:p>
          <w:p w:rsidRDefault="00402CD3" w:rsidR="00402CD3">
            <w:pPr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 xml:space="preserve">opis  </w:t>
            </w:r>
          </w:p>
        </w:tc>
        <w:tc>
          <w:tcPr>
            <w:tcW w:type="dxa" w:w="2693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</w:tcPr>
          <w:p w:rsidRDefault="00402CD3" w:rsidR="00402CD3">
            <w:pPr>
              <w:pStyle w:val="Bezproreda"/>
              <w:spacing w:lineRule="auto" w:line="256"/>
              <w:rPr>
                <w:rFonts w:hAnsi="Century Gothic" w:ascii="Century Gothic"/>
              </w:rPr>
            </w:pPr>
          </w:p>
          <w:p w:rsidRDefault="00402CD3" w:rsidR="00402CD3">
            <w:pPr>
              <w:pStyle w:val="Bezproreda"/>
              <w:spacing w:lineRule="auto" w:line="256"/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>knjigovodstvena</w:t>
            </w:r>
          </w:p>
          <w:p w:rsidRDefault="00402CD3" w:rsidR="00402CD3">
            <w:pPr>
              <w:pStyle w:val="Bezproreda"/>
              <w:spacing w:lineRule="auto" w:line="256"/>
              <w:jc w:val="center"/>
              <w:rPr>
                <w:caps/>
              </w:rPr>
            </w:pPr>
            <w:r>
              <w:rPr>
                <w:rFonts w:hAnsi="Century Gothic" w:ascii="Century Gothic"/>
                <w:b/>
              </w:rPr>
              <w:t>vrijednost u kn</w:t>
            </w:r>
          </w:p>
        </w:tc>
      </w:tr>
      <w:tr w:rsidTr="00402CD3" w:rsidR="00402CD3">
        <w:trPr>
          <w:trHeight w:val="1797"/>
          <w:jc w:val="center"/>
        </w:trPr>
        <w:tc>
          <w:tcPr>
            <w:tcW w:type="dxa" w:w="686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402CD3" w:rsidR="00402CD3">
            <w:pPr>
              <w:spacing w:lineRule="auto" w:line="288"/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</w:t>
            </w:r>
          </w:p>
          <w:p w:rsidRDefault="00402CD3" w:rsidR="00402CD3">
            <w:pPr>
              <w:spacing w:lineRule="auto" w:line="288"/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</w:t>
            </w:r>
          </w:p>
        </w:tc>
        <w:tc>
          <w:tcPr>
            <w:tcW w:type="dxa" w:w="538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hideMark/>
          </w:tcPr>
          <w:p w:rsidRDefault="00402CD3" w:rsidR="00402CD3">
            <w:pPr>
              <w:pStyle w:val="Bezproreda"/>
              <w:spacing w:lineRule="auto" w:line="256"/>
              <w:jc w:val="both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nekretnina upisana u 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zemljišne knjige koje vodi Općinski sud u  Zadru, Zemljišno knjižni odjel, u </w:t>
            </w:r>
            <w:proofErr w:type="spellStart"/>
            <w:r>
              <w:rPr>
                <w:rFonts w:cs="Times New Roman" w:eastAsia="Times New Roman" w:hAnsi="Century Gothic" w:ascii="Century Gothic"/>
                <w:lang w:eastAsia="hr-HR"/>
              </w:rPr>
              <w:t>zk</w:t>
            </w:r>
            <w:proofErr w:type="spellEnd"/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. ul. br. 7395 k.o. Zadar, </w:t>
            </w:r>
            <w:proofErr w:type="spellStart"/>
            <w:r>
              <w:rPr>
                <w:rFonts w:cs="Times New Roman" w:eastAsia="Times New Roman" w:hAnsi="Century Gothic" w:ascii="Century Gothic"/>
                <w:lang w:eastAsia="hr-HR"/>
              </w:rPr>
              <w:t>čkbr</w:t>
            </w:r>
            <w:proofErr w:type="spellEnd"/>
            <w:r>
              <w:rPr>
                <w:rFonts w:cs="Times New Roman" w:eastAsia="Times New Roman" w:hAnsi="Century Gothic" w:ascii="Century Gothic"/>
                <w:lang w:eastAsia="hr-HR"/>
              </w:rPr>
              <w:t>. 1803/2 kuća, garaža i dvor 522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dvor 349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kuća 138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zemljišta pod zgradom 35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neodvojivo povezano s vlasništvom posebnih dijelova nekretnine</w:t>
            </w:r>
            <w:r>
              <w:rPr>
                <w:rFonts w:hAnsi="Century Gothic" w:ascii="Century Gothic"/>
              </w:rPr>
              <w:t xml:space="preserve"> kako slijedi:  </w:t>
            </w:r>
          </w:p>
          <w:p w:rsidRDefault="00402CD3" w:rsidR="00402CD3">
            <w:pPr>
              <w:pStyle w:val="Bezproreda"/>
              <w:spacing w:lineRule="auto" w:line="256"/>
              <w:ind w:firstLine="708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- 5. suvlasnički dio: 291/1000 etažno vlasništvo (E-1) etažna jedinica oznake "S1"-stambeni prostor koji se nalazi u suterenu a sastoji se od ulaznog prostora, kuhinje s blagovaonicom i dnevnim boravkom, kupaonice i dvije spavaće sobe ukupne korisne površine 102,97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korisne vrijednosti površine 102,97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. Sporedni dio stana "S1" je spremište korisne površine 2,55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 a korisne vrijednosti površine 0,89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. Ukupna korisna površina stambenog prostora "S1" i sporednog dijela je 105,52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ukupna korisna vrijednost površina je 103,86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u grafičkom dijelu elaborata označeno crvenom bojom;</w:t>
            </w:r>
          </w:p>
          <w:p w:rsidRDefault="00402CD3" w:rsidR="00402CD3">
            <w:pPr>
              <w:pStyle w:val="Bezproreda"/>
              <w:spacing w:lineRule="auto" w:line="256"/>
              <w:ind w:firstLine="708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- 6. suvlasnički dio: 300/1000 etažno vlasništvo (E-2) etažna jedinica oznake "S2"-stambeni prostor koji se nalazi u prizemlju i suterenu zgrade, a sastoji se u  prizemlju od ulaznog prostora s garderobom, kuhinjom s blagovaonicom i dnevnim boravkom, kupaonice i dvije spavaće sobe, korisne površine 81,44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korisne vrijednosti površine 81,44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. Sporedni dio stana "S2" u suterenu je garaža, korisne površine 20,37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korisne vrijednosti površine 10,19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u prizemlju natkriveni i nenatkriveni dio terase, korisne površine 46,58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korisne vrijednosti površine 15,11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. Ukupna korisna površina stambenog 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lastRenderedPageBreak/>
              <w:t>prostora "S2" i sporednog dijela je 148,39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a ukupna korisna vrijednost površina je 106,73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u grafičkom dijelu elaborata označeno zelenom bojom;</w:t>
            </w:r>
          </w:p>
          <w:p w:rsidRDefault="00402CD3" w:rsidR="00402CD3">
            <w:pPr>
              <w:pStyle w:val="Bezproreda"/>
              <w:spacing w:lineRule="auto" w:line="256"/>
              <w:ind w:firstLine="708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- 7. suvlasnički dio: 249/1000 etažno vlasništvo (E-3) etažno jedinica oznake "S3" –stambeni prostor koji se nalazi na prvom katu zgrade, a sastoji se od ulaznog prostora s garderobom, kuhinje s blagovaonicom i dnevnim boravkom, kupaonice i dvije spavaće sobe, korisne površine 81,44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korisne vrijednosti površine 81,44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. Sporedni dio stana "S3" je natkrivena terasa, korisne površine 14,66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korisne vrijednosti površine 7,33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. Ukupna korisna površina stambenog prostora "S3" i sporednog dijela je 96,10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ukupna korisna vrijednost površina je 88,77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u grafičkom dijelu elaborata označeno plavom bojom;</w:t>
            </w:r>
          </w:p>
          <w:p w:rsidRDefault="00402CD3" w:rsidR="00402CD3">
            <w:pPr>
              <w:pStyle w:val="Bezproreda"/>
              <w:spacing w:lineRule="auto" w:line="256"/>
              <w:ind w:firstLine="708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- 8. suvlasnički dio 160/1000 etažno vlasništvo (E-4) etažna jedinica oznake "S4" – stambeni prostor koji se nalazi na drugom katu, a sastoji se od kuhinje s  blagovaonicom i dnevnim boravkom, spavaće sobe, kupaonice, korisne površine 34,46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korisne vrijednosti površine 34,20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. Sporedni dio stana "S4" su natkriveni i nenatkriveni dijelovi terase, korisne površine 71,55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korisne vrijednosti površine 22,80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. Ukupna korisna površina stambenog prostora "S4" i sporednog dijela je 106,01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a ukupna korisna vrijednost površina je 57,00 m</w:t>
            </w:r>
            <w:r>
              <w:rPr>
                <w:rFonts w:cs="Times New Roman" w:eastAsia="Times New Roman" w:hAnsi="Century Gothic" w:ascii="Century Gothic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lang w:eastAsia="hr-HR"/>
              </w:rPr>
              <w:t>, u grafičkom dijelu elaborata označeno narančastom bojom.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402CD3" w:rsidR="00402CD3">
            <w:pPr>
              <w:pStyle w:val="Bezproreda"/>
              <w:spacing w:lineRule="auto" w:line="256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</w:p>
          <w:p w:rsidRDefault="00402CD3" w:rsidR="00402CD3">
            <w:pPr>
              <w:pStyle w:val="Bezproreda"/>
              <w:spacing w:lineRule="auto" w:line="256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</w:t>
            </w:r>
          </w:p>
          <w:p w:rsidRDefault="00402CD3" w:rsidR="00402CD3">
            <w:pPr>
              <w:pStyle w:val="Bezproreda"/>
              <w:spacing w:lineRule="auto" w:line="256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</w:t>
            </w:r>
          </w:p>
          <w:p w:rsidRDefault="00402CD3" w:rsidR="00402CD3">
            <w:pPr>
              <w:spacing w:lineRule="auto" w:line="288"/>
              <w:jc w:val="center"/>
              <w:rPr>
                <w:rFonts w:hAnsi="Century Gothic" w:ascii="Century Gothic"/>
              </w:rPr>
            </w:pPr>
          </w:p>
          <w:p w:rsidRDefault="00402CD3" w:rsidR="00402CD3">
            <w:pPr>
              <w:spacing w:lineRule="auto" w:line="288"/>
              <w:jc w:val="center"/>
              <w:rPr>
                <w:rFonts w:hAnsi="Century Gothic" w:ascii="Century Gothic"/>
              </w:rPr>
            </w:pPr>
          </w:p>
          <w:p w:rsidRDefault="00402CD3" w:rsidR="00402CD3">
            <w:pPr>
              <w:spacing w:lineRule="auto" w:line="288"/>
              <w:jc w:val="center"/>
              <w:rPr>
                <w:rFonts w:cs="Times New Roman" w:eastAsia="Times New Roman" w:hAnsi="Century Gothic" w:ascii="Century Gothic"/>
              </w:rPr>
            </w:pPr>
          </w:p>
          <w:p w:rsidRDefault="00402CD3" w:rsidR="00402CD3">
            <w:pPr>
              <w:spacing w:lineRule="auto" w:line="288"/>
              <w:jc w:val="center"/>
              <w:rPr>
                <w:rFonts w:cs="Times New Roman" w:eastAsia="Times New Roman" w:hAnsi="Century Gothic" w:ascii="Century Gothic"/>
              </w:rPr>
            </w:pPr>
          </w:p>
          <w:p w:rsidRDefault="00402CD3" w:rsidR="00402CD3">
            <w:pPr>
              <w:spacing w:lineRule="auto" w:line="288"/>
              <w:jc w:val="center"/>
              <w:rPr>
                <w:rFonts w:cs="Times New Roman" w:eastAsia="Times New Roman" w:hAnsi="Century Gothic" w:ascii="Century Gothic"/>
              </w:rPr>
            </w:pPr>
          </w:p>
          <w:p w:rsidRDefault="00402CD3" w:rsidR="00402CD3">
            <w:pPr>
              <w:spacing w:lineRule="auto" w:line="288"/>
              <w:jc w:val="center"/>
              <w:rPr>
                <w:rFonts w:cs="Times New Roman" w:eastAsia="Times New Roman" w:hAnsi="Century Gothic" w:ascii="Century Gothic"/>
              </w:rPr>
            </w:pPr>
          </w:p>
          <w:p w:rsidRDefault="00402CD3" w:rsidR="00402CD3">
            <w:pPr>
              <w:spacing w:lineRule="auto" w:line="288"/>
              <w:jc w:val="center"/>
              <w:rPr>
                <w:rFonts w:cs="Times New Roman" w:eastAsia="Times New Roman" w:hAnsi="Century Gothic" w:ascii="Century Gothic"/>
              </w:rPr>
            </w:pPr>
          </w:p>
          <w:p w:rsidRDefault="00402CD3" w:rsidR="00402CD3">
            <w:pPr>
              <w:spacing w:lineRule="auto" w:line="288"/>
              <w:jc w:val="center"/>
              <w:rPr>
                <w:rFonts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 xml:space="preserve">1.003.600,00 </w:t>
            </w:r>
          </w:p>
        </w:tc>
      </w:tr>
    </w:tbl>
    <w:p w:rsidRDefault="00402CD3" w:rsidP="00402CD3" w:rsidR="00402CD3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Century Gothic" w:ascii="Century Gothic"/>
          <w:sz w:val="24"/>
          <w:szCs w:val="24"/>
          <w:lang w:val="pl-PL"/>
        </w:rPr>
        <w:lastRenderedPageBreak/>
        <w:t xml:space="preserve"> </w:t>
      </w:r>
    </w:p>
    <w:p w:rsidRDefault="00402CD3" w:rsidP="00402CD3" w:rsidR="00402CD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>Križevci, 28. prosinca 2017.</w:t>
      </w:r>
      <w:r>
        <w:rPr>
          <w:rFonts w:hAnsi="Century Gothic" w:ascii="Century Gothic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402CD3" w:rsidP="00402CD3" w:rsidR="00402CD3">
      <w:pPr>
        <w:pStyle w:val="Bezproreda"/>
        <w:ind w:left="6372"/>
        <w:rPr>
          <w:rFonts w:hAnsi="Century Gothic" w:ascii="Century Gothic"/>
          <w:sz w:val="20"/>
          <w:szCs w:val="20"/>
        </w:rPr>
      </w:pPr>
    </w:p>
    <w:p w:rsidRDefault="00402CD3" w:rsidP="00402CD3" w:rsidR="00402CD3">
      <w:pPr>
        <w:pStyle w:val="Bezproreda"/>
        <w:ind w:firstLine="708" w:left="5664"/>
        <w:rPr>
          <w:rFonts w:hAnsi="Century Gothic" w:ascii="Century Gothic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>Stečajni upravitelj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                                        </w:t>
      </w: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                                                           </w:t>
      </w:r>
    </w:p>
    <w:p w:rsidRDefault="00402CD3" w:rsidP="00402CD3" w:rsidR="00402CD3">
      <w:pPr>
        <w:rPr>
          <w:rFonts w:hAnsi="Century Gothic" w:ascii="Century Gothic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Ansi="Century Gothic" w:ascii="Century Gothic"/>
          <w:sz w:val="24"/>
          <w:szCs w:val="24"/>
        </w:rPr>
        <w:tab/>
        <w:t xml:space="preserve">      Darko Šket</w:t>
      </w:r>
    </w:p>
    <w:p w:rsidRDefault="00402CD3" w:rsidP="00402CD3" w:rsidR="00402CD3"/>
    <w:p w:rsidRDefault="00402CD3" w:rsidP="00402CD3" w:rsidR="00AE7B69">
      <w:pPr>
        <w:ind w:left="5954"/>
      </w:pPr>
      <w:r>
        <w:rPr>
          <w:rFonts w:eastAsiaTheme="minorEastAsia" w:cs="Tahoma" w:hAnsi="Century Gothic" w:ascii="Century Gothic"/>
          <w:noProof/>
          <w:lang w:eastAsia="hr-HR"/>
        </w:rPr>
        <w:drawing>
          <wp:inline distR="0" distL="0" distB="0" distT="0">
            <wp:extent cy="1264920" cx="1496060"/>
            <wp:effectExtent b="0" r="8890" t="0" l="0"/>
            <wp:docPr descr="../IMG_3953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../IMG_3953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64920" cx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7B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CD3"/>
    <w:rsid w:val="00402CD3"/>
    <w:rsid w:val="007B610D"/>
    <w:rsid w:val="00AE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CD3"/>
    <w:pPr>
      <w:spacing w:lineRule="auto" w:line="256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02CD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2C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C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10D"/>
    <w:rPr>
      <w:rFonts w:hAnsi="Century Gothic" w:ascii="Century Gothic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10D"/>
    <w:rPr>
      <w:rFonts w:cs="Times New Roman" w:hAnsi="Century Gothic" w:ascii="Century Gothic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10D"/>
    <w:rPr>
      <w:rFonts w:cs="Times New Roman" w:hAnsi="Century Gothic" w:ascii="Century Gothic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CD3"/>
    <w:pPr>
      <w:spacing w:after="160"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02CD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2C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C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10D"/>
    <w:rPr>
      <w:rFonts w:ascii="Century Gothic" w:hAnsi="Century Gothic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10D"/>
    <w:rPr>
      <w:rFonts w:ascii="Century Gothic" w:cs="Times New Roman" w:hAnsi="Century Gothic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10D"/>
    <w:rPr>
      <w:rFonts w:ascii="Century Gothic" w:cs="Times New Roman" w:hAnsi="Century Gothic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87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29683817092</item>
      <item>, OIB 93465924400</item>
      <item>, OIB 52634238587</item>
      <item>, OIB 86821435474</item>
      <item>, OIB null</item>
    </izvorni_sadrzaj>
    <derivirana_varijabla naziv="DomainObject.Predmet.SudioniciListNazivOIB_1">
      <item>, OIB 29683817092</item>
      <item>, OIB 93465924400</item>
      <item>, OIB 52634238587</item>
      <item>, OIB 86821435474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2834</properties:Characters>
  <properties:Lines>103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2017-12-29T12:43:00Z</dcterms:created>
  <dc:creator>Vesna Dragišić</dc:creator>
  <cp:lastModifiedBy>Vesna Dragišić</cp:lastModifiedBy>
  <dcterms:modified xmlns:xsi="http://www.w3.org/2001/XMLSchema-instance" xsi:type="dcterms:W3CDTF">2017-12-29T12:51:00Z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