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682b" w14:paraId="3e5682b" w:rsidRDefault="00F6278D" w:rsidP="00F6278D" w:rsidR="00F6278D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Cs w:val="22"/>
          <w:lang w:bidi="hi-IN" w:eastAsia="zh-CN" w:val="hr-HR"/>
        </w:rPr>
      </w:pPr>
      <w:bookmarkStart w:name="_GoBack" w:id="0"/>
      <w:bookmarkEnd w:id="0"/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Trgovački sud u Bjelovaru</w:t>
      </w:r>
    </w:p>
    <w:p w:rsidRDefault="00F6278D" w:rsidP="00F6278D" w:rsidR="00F6278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 w:val="hr-HR"/>
        </w:rPr>
      </w:pP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Poslovni broj spisa</w:t>
      </w:r>
      <w:r>
        <w:rPr>
          <w:rFonts w:cs="Arial" w:eastAsia="SimSun" w:hAnsi="Arial" w:ascii="Arial"/>
          <w:kern w:val="3"/>
          <w:szCs w:val="22"/>
          <w:lang w:bidi="hi-IN" w:eastAsia="zh-CN" w:val="pl-PL"/>
        </w:rPr>
        <w:t>:</w:t>
      </w:r>
      <w:r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1.St-106/2018-11</w:t>
      </w:r>
    </w:p>
    <w:p w:rsidRDefault="00F6278D" w:rsidP="00F6278D" w:rsidR="00F6278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Dužnik: </w:t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  <w:t xml:space="preserve">Stečajna masa iza Benzinske postaje DELTA d.o.o. u </w:t>
      </w:r>
    </w:p>
    <w:p w:rsidRDefault="00F6278D" w:rsidP="00F6278D" w:rsidR="00F6278D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Stečaju, B.Radića 20, Jalkovec, OIB: 87468585568</w:t>
      </w:r>
    </w:p>
    <w:p w:rsidRDefault="00F6278D" w:rsidP="00F6278D" w:rsidR="00F6278D">
      <w:pPr>
        <w:spacing w:lineRule="auto" w:line="288"/>
        <w:jc w:val="both"/>
        <w:rPr>
          <w:rFonts w:cs="Tahoma" w:hAnsi="Tahoma" w:ascii="Tahoma"/>
          <w:sz w:val="20"/>
          <w:lang w:eastAsia="en-US" w:val="hr-HR"/>
        </w:rPr>
      </w:pPr>
    </w:p>
    <w:p w:rsidRDefault="00F6278D" w:rsidP="00F6278D" w:rsidR="00F6278D">
      <w:pPr>
        <w:spacing w:lineRule="auto" w:line="288"/>
        <w:jc w:val="both"/>
        <w:rPr>
          <w:rFonts w:cs="Tahoma" w:hAnsi="Tahoma" w:ascii="Tahoma"/>
          <w:sz w:val="20"/>
          <w:lang w:eastAsia="en-US" w:val="hr-HR"/>
        </w:rPr>
      </w:pPr>
    </w:p>
    <w:p w:rsidRDefault="00F6278D" w:rsidP="00F6278D" w:rsidR="00F6278D">
      <w:pPr>
        <w:spacing w:lineRule="auto" w:line="288"/>
        <w:jc w:val="center"/>
        <w:rPr>
          <w:rFonts w:cs="Arial" w:hAnsi="Arial" w:ascii="Arial"/>
          <w:b/>
          <w:szCs w:val="22"/>
        </w:rPr>
      </w:pPr>
      <w:r>
        <w:rPr>
          <w:rFonts w:cs="Arial" w:hAnsi="Arial" w:ascii="Arial"/>
          <w:b/>
          <w:szCs w:val="22"/>
        </w:rPr>
        <w:t>IZVJEŠĆE STEČAJNOGA UPRAVITELJA O TIJEKU STEČAJNOGA POSTUPKA I STANJU STEČAJNE MASE</w:t>
      </w:r>
    </w:p>
    <w:p w:rsidRDefault="00F6278D" w:rsidP="00F6278D" w:rsidR="00F6278D">
      <w:pPr>
        <w:spacing w:lineRule="auto" w:line="288"/>
        <w:ind w:firstLine="708" w:left="2832"/>
        <w:jc w:val="both"/>
        <w:rPr>
          <w:rFonts w:cs="Arial" w:hAnsi="Arial" w:ascii="Arial"/>
          <w:b/>
          <w:bCs/>
          <w:kern w:val="3"/>
          <w:szCs w:val="22"/>
          <w:lang w:val="hr-HR"/>
        </w:rPr>
      </w:pPr>
    </w:p>
    <w:p w:rsidRDefault="00F6278D" w:rsidP="00F6278D" w:rsidR="00F6278D">
      <w:pPr>
        <w:spacing w:lineRule="auto" w:line="288"/>
        <w:ind w:firstLine="708" w:left="2832"/>
        <w:jc w:val="both"/>
        <w:rPr>
          <w:rFonts w:cs="Arial" w:hAnsi="Arial" w:ascii="Arial"/>
          <w:b/>
          <w:bCs/>
          <w:kern w:val="3"/>
          <w:szCs w:val="22"/>
          <w:lang w:val="hr-HR"/>
        </w:rPr>
      </w:pPr>
    </w:p>
    <w:p w:rsidRDefault="00F6278D" w:rsidP="00F6278D" w:rsidR="00F6278D">
      <w:pPr>
        <w:numPr>
          <w:ilvl w:val="0"/>
          <w:numId w:val="1"/>
        </w:numPr>
        <w:spacing w:lineRule="auto" w:line="288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b/>
          <w:szCs w:val="22"/>
          <w:lang w:val="pl-PL"/>
        </w:rPr>
        <w:t xml:space="preserve">Opći podaci o stečajnom dužniku </w:t>
      </w:r>
    </w:p>
    <w:p w:rsidRDefault="00F6278D" w:rsidP="00F6278D" w:rsidR="00F6278D">
      <w:pPr>
        <w:spacing w:lineRule="auto" w:line="288"/>
        <w:ind w:left="1080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Rješenjem Trgovačkog suda u Bjelovaru, poslovni broj 1 St-599/2016-4 od 3. kolovoza 2016. godine, </w:t>
      </w:r>
      <w:r>
        <w:rPr>
          <w:rFonts w:cs="Arial" w:hAnsi="Arial" w:ascii="Arial"/>
          <w:szCs w:val="22"/>
          <w:u w:val="single"/>
          <w:lang w:val="pl-PL"/>
        </w:rPr>
        <w:t>otvoren je i istovremeno zaključen stečajni postupak</w:t>
      </w:r>
      <w:r>
        <w:rPr>
          <w:rFonts w:cs="Arial" w:hAnsi="Arial" w:ascii="Arial"/>
          <w:szCs w:val="22"/>
          <w:lang w:val="pl-PL"/>
        </w:rPr>
        <w:t xml:space="preserve"> nad dužnikom BENZINSKE POSTAJE DELTA d.o.o. za trgovinu i usluge u likvidaciji, Slavonska Avenija 1, Zagreb, OIB: 94029810051, u kojem sam postupku imenovan stečajnim upraviteljem, te je dužnik nakon pravomoćnosti rješenja brisan iz sudskog registra i prestao je postojati kao pravna osoba. 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Nadalje, kako je iskazano u izvješću stečajnog upravitelja od 28.12.2017. nakon obavijesti vjerovnika Krajačić Zdravka i njegovog punomoćnika, a zbog naknadno pronađene imovine i to nekretnine predložen je nastavak stečajnog postupka, te je od strane Trgovačkog suda u Bjelovaru poslovni broj: 1 St-599/2016-9 donijeto Rješenje o nastavku postupka nad stečajnom masom iza stečajnog dužnika Benzinska postaja DELTA d.o.o. radi naknadne diobe dana </w:t>
      </w:r>
      <w:r>
        <w:rPr>
          <w:rFonts w:cs="Arial" w:hAnsi="Arial" w:ascii="Arial"/>
          <w:b/>
          <w:szCs w:val="22"/>
          <w:lang w:val="pl-PL"/>
        </w:rPr>
        <w:t xml:space="preserve">23. siječnja 2018. 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Obzirom na nastavak postupka izvršen je upis u sudski registar dužnika:  stečajna masa iza Benzinske postaje DELTA d.o.o. za trgovinu i usluge u stečaju, skraćeni naziv: </w:t>
      </w:r>
      <w:r>
        <w:rPr>
          <w:rFonts w:cs="Arial" w:hAnsi="Arial" w:ascii="Arial"/>
          <w:b/>
          <w:szCs w:val="22"/>
          <w:lang w:val="pl-PL"/>
        </w:rPr>
        <w:t>Stečajna masa iza Benzinske postaje DELTA d.o.o. u stečaju, Jalkovec, B.Radića 20, OIB: 87468585568, MBS: 081147691</w:t>
      </w:r>
      <w:r>
        <w:rPr>
          <w:rFonts w:cs="Arial" w:hAnsi="Arial" w:ascii="Arial"/>
          <w:szCs w:val="22"/>
          <w:lang w:val="pl-PL"/>
        </w:rPr>
        <w:t xml:space="preserve">. 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</w:rPr>
      </w:pPr>
      <w:r>
        <w:rPr>
          <w:rFonts w:cs="Arial" w:hAnsi="Arial" w:ascii="Arial"/>
          <w:szCs w:val="22"/>
          <w:lang w:val="pl-PL"/>
        </w:rPr>
        <w:t xml:space="preserve">Rješenjem Trgovačkog suda u Bjelovaru, poslovni broj 1 </w:t>
      </w:r>
      <w:r>
        <w:rPr>
          <w:rFonts w:cs="Arial" w:hAnsi="Arial" w:ascii="Arial"/>
          <w:szCs w:val="22"/>
          <w:u w:val="single"/>
          <w:lang w:val="pl-PL"/>
        </w:rPr>
        <w:t>St-106/2018</w:t>
      </w:r>
      <w:r>
        <w:rPr>
          <w:rFonts w:cs="Arial" w:hAnsi="Arial" w:ascii="Arial"/>
          <w:szCs w:val="22"/>
          <w:lang w:val="pl-PL"/>
        </w:rPr>
        <w:t xml:space="preserve">-11, od 21.veljače 2018. pozvani su vjerovnici  na prijavu svojih tražbina u roku od 60 dana i zakazano je  ispitno i izvještajno ročište za dan 23. svibnja 2018., a koje je rješenje objavljeno je na portalu e-oglasa ploča dana </w:t>
      </w:r>
      <w:r>
        <w:rPr>
          <w:rFonts w:cs="Arial" w:hAnsi="Arial" w:ascii="Arial"/>
          <w:szCs w:val="22"/>
        </w:rPr>
        <w:t>22.02.2018. 11:01:41h.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Stečajni upravitelj je preuzeo dužnost danom donošenja Rješenja o nastavku postupka, te su nakon preuzimanja dužnosti poduzete aktivnosti kako slijedi:</w:t>
      </w:r>
    </w:p>
    <w:p w:rsidRDefault="00F6278D" w:rsidP="00F6278D" w:rsidR="00F6278D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</w:rPr>
        <w:t>izrađen je novi štambilj stečajnog dužnika s oznakom „</w:t>
      </w:r>
      <w:r>
        <w:rPr>
          <w:rFonts w:cs="Arial" w:hAnsi="Arial" w:ascii="Arial"/>
          <w:szCs w:val="22"/>
          <w:lang w:val="de-DE"/>
        </w:rPr>
        <w:t>u ste</w:t>
      </w:r>
      <w:r>
        <w:rPr>
          <w:rFonts w:cs="Arial" w:hAnsi="Arial" w:ascii="Arial"/>
          <w:szCs w:val="22"/>
        </w:rPr>
        <w:t>čaju”.</w:t>
      </w:r>
    </w:p>
    <w:p w:rsidRDefault="00F6278D" w:rsidP="00F6278D" w:rsidR="00F6278D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</w:rPr>
        <w:t>pribavljena je knjigovodstvena dokumentacija,</w:t>
      </w:r>
    </w:p>
    <w:p w:rsidRDefault="00F6278D" w:rsidP="00F6278D" w:rsidR="00F6278D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izvršena je analiza radi utvrđivanja osnovanosti pristiglih tražbina vjerovnika, </w:t>
      </w:r>
    </w:p>
    <w:p w:rsidRDefault="00F6278D" w:rsidP="00F6278D" w:rsidR="00F6278D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sklopljen je ugovor o obavljanju knjigovodstvenih usluga za stečajnog dužnika sa društvom  Biro plus d.o.o. iz Čakovca,</w:t>
      </w:r>
    </w:p>
    <w:p w:rsidRDefault="00F6278D" w:rsidP="00F6278D" w:rsidR="00F6278D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izrađene su tablice prijavljenih tražbina II. viši isplatni red, popis predmeta stečajne mase sukladno čl. 221. Stečajnog zakona, kao i pregled imovine i obveza stečajne mase sukladno čl. 223. Stečajnog zakona, te popis vjerovnika sukladno čl. 222</w:t>
      </w:r>
    </w:p>
    <w:p w:rsidRDefault="00F6278D" w:rsidP="00F6278D" w:rsidR="00F6278D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izrađena je početna stečajna bilanca na dan 23.1.2018. godine.</w:t>
      </w:r>
    </w:p>
    <w:p w:rsidRDefault="00F6278D" w:rsidP="00F6278D" w:rsidR="00F6278D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numPr>
          <w:ilvl w:val="0"/>
          <w:numId w:val="1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b/>
          <w:szCs w:val="22"/>
          <w:lang w:val="pl-PL"/>
        </w:rPr>
        <w:t>Stanje stečajne mase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iCs/>
          <w:szCs w:val="22"/>
          <w:lang w:val="hr-HR"/>
        </w:rPr>
      </w:pPr>
      <w:r>
        <w:rPr>
          <w:rFonts w:cs="Arial" w:hAnsi="Arial" w:ascii="Arial"/>
          <w:iCs/>
          <w:szCs w:val="22"/>
          <w:lang w:val="hr-HR"/>
        </w:rPr>
        <w:t xml:space="preserve">U cilju izrade stanja imovine i obveza sukladno čl. 223. Stečajnog zakona, zatražena je i pribavljena knjigovodstvena dokumentacija koja je dostavljena za razdoblje do 1.1.2016. do 2.8.2016., izvršen je uvid u zemljišne knjige, izvršena je analiza svih pristiglih tražbina te je utvrđena početna stečajna bilanca sa iskazanim stanjem imovine prema knjigovodstvenim podacima po dostavljenoj Bilanci od 2.8.2016. u iznosu od </w:t>
      </w:r>
      <w:r>
        <w:rPr>
          <w:rFonts w:cs="Arial" w:hAnsi="Arial" w:ascii="Arial"/>
          <w:b/>
          <w:iCs/>
          <w:szCs w:val="22"/>
          <w:lang w:val="hr-HR"/>
        </w:rPr>
        <w:t>386.165,96 kn</w:t>
      </w:r>
      <w:r>
        <w:rPr>
          <w:rFonts w:cs="Arial" w:hAnsi="Arial" w:ascii="Arial"/>
          <w:iCs/>
          <w:szCs w:val="22"/>
          <w:lang w:val="hr-HR"/>
        </w:rPr>
        <w:t xml:space="preserve"> i iskazanim stanjem obveza s osnove prijavljenih i priznatih tražbina stečajnih vjerovnika u iznosu od </w:t>
      </w:r>
      <w:r>
        <w:rPr>
          <w:rFonts w:cs="Arial" w:hAnsi="Arial" w:ascii="Arial"/>
          <w:b/>
          <w:iCs/>
          <w:szCs w:val="22"/>
          <w:lang w:val="hr-HR"/>
        </w:rPr>
        <w:t>375.877,61 kn</w:t>
      </w:r>
      <w:r>
        <w:rPr>
          <w:rFonts w:cs="Arial" w:hAnsi="Arial" w:ascii="Arial"/>
          <w:iCs/>
          <w:szCs w:val="22"/>
          <w:lang w:val="hr-HR"/>
        </w:rPr>
        <w:t>, a kako slijedi u tabeli 1.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iCs/>
          <w:szCs w:val="22"/>
          <w:lang w:val="hr-HR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b/>
          <w:iCs/>
          <w:szCs w:val="22"/>
          <w:lang w:val="hr-HR"/>
        </w:rPr>
      </w:pPr>
      <w:r>
        <w:rPr>
          <w:rFonts w:cs="Arial" w:hAnsi="Arial" w:ascii="Arial"/>
          <w:b/>
          <w:iCs/>
          <w:szCs w:val="22"/>
          <w:lang w:val="hr-HR"/>
        </w:rPr>
        <w:t>Tabela 1.</w:t>
      </w:r>
    </w:p>
    <w:tbl>
      <w:tblPr>
        <w:tblW w:type="dxa" w:w="1095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17"/>
        <w:gridCol w:w="5129"/>
        <w:gridCol w:w="2552"/>
        <w:gridCol w:w="2552"/>
      </w:tblGrid>
      <w:tr w:rsidTr="00F6278D" w:rsidR="00F6278D">
        <w:trPr>
          <w:trHeight w:val="567"/>
          <w:jc w:val="center"/>
        </w:trPr>
        <w:tc>
          <w:tcPr>
            <w:tcW w:type="dxa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6278D" w:rsidR="00F6278D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lang w:val="hr-HR"/>
              </w:rPr>
            </w:pPr>
            <w:r>
              <w:rPr>
                <w:rFonts w:cs="Arial" w:hAnsi="Arial" w:ascii="Arial"/>
                <w:b/>
                <w:iCs/>
                <w:sz w:val="20"/>
                <w:lang w:val="hr-HR"/>
              </w:rPr>
              <w:t>Red.</w:t>
            </w:r>
          </w:p>
          <w:p w:rsidRDefault="00F6278D" w:rsidR="00F6278D">
            <w:pPr>
              <w:spacing w:lineRule="auto" w:line="288"/>
              <w:jc w:val="center"/>
              <w:rPr>
                <w:rFonts w:cs="Arial" w:hAnsi="Arial" w:ascii="Arial"/>
                <w:iCs/>
                <w:sz w:val="20"/>
                <w:lang w:val="hr-HR"/>
              </w:rPr>
            </w:pPr>
            <w:r>
              <w:rPr>
                <w:rFonts w:cs="Arial" w:hAnsi="Arial" w:ascii="Arial"/>
                <w:b/>
                <w:iCs/>
                <w:sz w:val="20"/>
                <w:lang w:val="hr-HR"/>
              </w:rPr>
              <w:t>br.</w:t>
            </w:r>
          </w:p>
        </w:tc>
        <w:tc>
          <w:tcPr>
            <w:tcW w:type="dxa" w:w="5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6278D" w:rsidR="00F6278D">
            <w:pPr>
              <w:spacing w:lineRule="auto" w:line="288"/>
              <w:jc w:val="center"/>
              <w:rPr>
                <w:rFonts w:cs="Arial" w:hAnsi="Arial" w:ascii="Arial"/>
                <w:iCs/>
                <w:sz w:val="20"/>
                <w:lang w:val="hr-HR"/>
              </w:rPr>
            </w:pPr>
            <w:r>
              <w:rPr>
                <w:rFonts w:cs="Arial" w:hAnsi="Arial" w:ascii="Arial"/>
                <w:b/>
                <w:iCs/>
                <w:sz w:val="20"/>
                <w:lang w:val="hr-HR"/>
              </w:rPr>
              <w:t>Opis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F6278D" w:rsidR="00F6278D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lang w:val="hr-HR"/>
              </w:rPr>
            </w:pPr>
            <w:r>
              <w:rPr>
                <w:rFonts w:cs="Arial" w:hAnsi="Arial" w:ascii="Arial"/>
                <w:b/>
                <w:iCs/>
                <w:sz w:val="20"/>
                <w:lang w:val="hr-HR"/>
              </w:rPr>
              <w:t>Vrijednost iskazana po bilanci na dan 2.8.2016.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6278D" w:rsidR="00F6278D">
            <w:pPr>
              <w:spacing w:lineRule="auto" w:line="288"/>
              <w:jc w:val="center"/>
              <w:rPr>
                <w:rFonts w:cs="Arial" w:hAnsi="Arial" w:ascii="Arial"/>
                <w:iCs/>
                <w:sz w:val="20"/>
                <w:lang w:val="hr-HR"/>
              </w:rPr>
            </w:pPr>
            <w:r>
              <w:rPr>
                <w:rFonts w:cs="Arial" w:hAnsi="Arial" w:ascii="Arial"/>
                <w:b/>
                <w:iCs/>
                <w:sz w:val="20"/>
                <w:lang w:val="hr-HR"/>
              </w:rPr>
              <w:t>Početna stečajna bilanca 23.1.2018.</w:t>
            </w:r>
          </w:p>
        </w:tc>
      </w:tr>
      <w:tr w:rsidTr="00F6278D" w:rsidR="00F6278D">
        <w:trPr>
          <w:trHeight w:val="386"/>
          <w:jc w:val="center"/>
        </w:trPr>
        <w:tc>
          <w:tcPr>
            <w:tcW w:type="dxa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dxa" w:w="5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spacing w:lineRule="auto" w:line="288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 xml:space="preserve">Nekretnina upisana u z.k.ul. 1106 k.o. Jankomir, kat.čestica 32/37, kuća br. 52, Jankomir sa 40 m², 2 zgrade sa 13 m² i dvorište sa 4759 m², </w:t>
            </w:r>
            <w:r>
              <w:rPr>
                <w:rFonts w:cs="Arial" w:hAnsi="Arial" w:ascii="Arial"/>
                <w:sz w:val="20"/>
                <w:u w:val="single"/>
              </w:rPr>
              <w:t>suvlasnički dio: 91/4812</w:t>
            </w:r>
            <w:r>
              <w:rPr>
                <w:rFonts w:cs="Arial" w:hAnsi="Arial" w:ascii="Arial"/>
                <w:sz w:val="20"/>
              </w:rPr>
              <w:t xml:space="preserve">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386.165,96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386.165,96</w:t>
            </w:r>
          </w:p>
        </w:tc>
      </w:tr>
      <w:tr w:rsidTr="00F6278D" w:rsidR="00F6278D">
        <w:trPr>
          <w:trHeight w:val="386"/>
          <w:jc w:val="center"/>
        </w:trPr>
        <w:tc>
          <w:tcPr>
            <w:tcW w:type="dxa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2.</w:t>
            </w:r>
          </w:p>
        </w:tc>
        <w:tc>
          <w:tcPr>
            <w:tcW w:type="dxa" w:w="5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spacing w:lineRule="auto" w:line="288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Pretplata PDV-a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6.077,78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0,00</w:t>
            </w:r>
          </w:p>
        </w:tc>
      </w:tr>
      <w:tr w:rsidTr="00F6278D" w:rsidR="00F6278D">
        <w:trPr>
          <w:trHeight w:val="386"/>
          <w:jc w:val="center"/>
        </w:trPr>
        <w:tc>
          <w:tcPr>
            <w:tcW w:type="dxa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6278D" w:rsidR="00F6278D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A)</w:t>
            </w:r>
          </w:p>
        </w:tc>
        <w:tc>
          <w:tcPr>
            <w:tcW w:type="dxa" w:w="5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6278D" w:rsidR="00F6278D">
            <w:pPr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Imovina ( r.br. 1+2)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6278D" w:rsidR="00F6278D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fldChar w:fldCharType="begin"/>
            </w:r>
            <w:r>
              <w:rPr>
                <w:rFonts w:cs="Arial" w:hAnsi="Arial" w:ascii="Arial"/>
                <w:b/>
                <w:sz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sz w:val="20"/>
              </w:rPr>
              <w:fldChar w:fldCharType="separate"/>
            </w:r>
            <w:r>
              <w:rPr>
                <w:rFonts w:cs="Arial" w:hAnsi="Arial" w:ascii="Arial"/>
                <w:b/>
                <w:noProof/>
                <w:sz w:val="20"/>
              </w:rPr>
              <w:t>392.243,74</w:t>
            </w:r>
            <w:r>
              <w:rPr>
                <w:rFonts w:cs="Arial" w:hAnsi="Arial" w:ascii="Arial"/>
                <w:b/>
                <w:sz w:val="20"/>
              </w:rPr>
              <w:fldChar w:fldCharType="end"/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6278D" w:rsidR="00F6278D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386.165,96</w:t>
            </w:r>
          </w:p>
        </w:tc>
      </w:tr>
      <w:tr w:rsidTr="00F6278D" w:rsidR="00F6278D">
        <w:trPr>
          <w:trHeight w:val="362"/>
          <w:jc w:val="center"/>
        </w:trPr>
        <w:tc>
          <w:tcPr>
            <w:tcW w:type="dxa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dxa" w:w="5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Obveze prema dobavljačima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29.178,27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0,00</w:t>
            </w:r>
          </w:p>
        </w:tc>
      </w:tr>
      <w:tr w:rsidTr="00F6278D" w:rsidR="00F6278D">
        <w:trPr>
          <w:trHeight w:val="362"/>
          <w:jc w:val="center"/>
        </w:trPr>
        <w:tc>
          <w:tcPr>
            <w:tcW w:type="dxa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4.</w:t>
            </w:r>
          </w:p>
        </w:tc>
        <w:tc>
          <w:tcPr>
            <w:tcW w:type="dxa" w:w="5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Obveze za kredite i pozajmice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405.088,85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371.596,75</w:t>
            </w:r>
          </w:p>
        </w:tc>
      </w:tr>
      <w:tr w:rsidTr="00F6278D" w:rsidR="00F6278D">
        <w:trPr>
          <w:trHeight w:val="362"/>
          <w:jc w:val="center"/>
        </w:trPr>
        <w:tc>
          <w:tcPr>
            <w:tcW w:type="dxa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5.</w:t>
            </w:r>
          </w:p>
        </w:tc>
        <w:tc>
          <w:tcPr>
            <w:tcW w:type="dxa" w:w="5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Obveze za poreze i doprinose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3.707,19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278D" w:rsidR="00F6278D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4.280,86</w:t>
            </w:r>
          </w:p>
        </w:tc>
      </w:tr>
      <w:tr w:rsidTr="00F6278D" w:rsidR="00F6278D">
        <w:trPr>
          <w:trHeight w:val="398"/>
          <w:jc w:val="center"/>
        </w:trPr>
        <w:tc>
          <w:tcPr>
            <w:tcW w:type="dxa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6278D" w:rsidR="00F6278D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B)</w:t>
            </w:r>
          </w:p>
        </w:tc>
        <w:tc>
          <w:tcPr>
            <w:tcW w:type="dxa" w:w="5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6278D" w:rsidR="00F6278D">
            <w:pPr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Obveze (r.br. 3+4+5)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6278D" w:rsidR="00F6278D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437.974,31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6278D" w:rsidR="00F6278D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  <w:lang w:val="hr-HR"/>
              </w:rPr>
              <w:t>375.877,61</w:t>
            </w:r>
          </w:p>
        </w:tc>
      </w:tr>
    </w:tbl>
    <w:p w:rsidRDefault="00F6278D" w:rsidP="00F6278D" w:rsidR="00F6278D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</w:p>
    <w:p w:rsidRDefault="00F6278D" w:rsidP="00F6278D" w:rsidR="00F6278D">
      <w:pPr>
        <w:numPr>
          <w:ilvl w:val="0"/>
          <w:numId w:val="3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b/>
          <w:szCs w:val="22"/>
          <w:lang w:val="pl-PL"/>
        </w:rPr>
        <w:br w:type="page"/>
      </w:r>
      <w:r>
        <w:rPr>
          <w:rFonts w:cs="Arial" w:hAnsi="Arial" w:ascii="Arial"/>
          <w:b/>
          <w:szCs w:val="22"/>
          <w:lang w:val="pl-PL"/>
        </w:rPr>
        <w:lastRenderedPageBreak/>
        <w:t>Imovina na dan 23.1.2018.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Kako slijedi iz tabele 1. Imovinu po Bilanci od 2.8.2016. iskazane vrijednosti od </w:t>
      </w:r>
      <w:r>
        <w:rPr>
          <w:rFonts w:cs="Arial" w:hAnsi="Arial" w:ascii="Arial"/>
          <w:szCs w:val="22"/>
          <w:u w:val="single"/>
          <w:lang w:val="pl-PL"/>
        </w:rPr>
        <w:t>392.243,74</w:t>
      </w:r>
      <w:r>
        <w:rPr>
          <w:rFonts w:cs="Arial" w:hAnsi="Arial" w:ascii="Arial"/>
          <w:szCs w:val="22"/>
          <w:lang w:val="pl-PL"/>
        </w:rPr>
        <w:t xml:space="preserve"> </w:t>
      </w:r>
      <w:r>
        <w:rPr>
          <w:rFonts w:cs="Arial" w:hAnsi="Arial" w:ascii="Arial"/>
          <w:szCs w:val="22"/>
          <w:u w:val="single"/>
          <w:lang w:val="pl-PL"/>
        </w:rPr>
        <w:t>kn</w:t>
      </w:r>
      <w:r>
        <w:rPr>
          <w:rFonts w:cs="Arial" w:hAnsi="Arial" w:ascii="Arial"/>
          <w:szCs w:val="22"/>
          <w:lang w:val="pl-PL"/>
        </w:rPr>
        <w:t xml:space="preserve"> čini:</w:t>
      </w:r>
    </w:p>
    <w:p w:rsidRDefault="00F6278D" w:rsidP="00F6278D" w:rsidR="00F6278D">
      <w:pPr>
        <w:numPr>
          <w:ilvl w:val="0"/>
          <w:numId w:val="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nekretnina </w:t>
      </w:r>
      <w:r>
        <w:rPr>
          <w:rFonts w:cs="Arial" w:hAnsi="Arial" w:ascii="Arial"/>
          <w:szCs w:val="22"/>
        </w:rPr>
        <w:t xml:space="preserve">upisana u z.k.ul. 1106 k.o. Jankomir, kat.čestica 32/37, kuća br. 52, Jankomir sa 40 m², 2 zgrade sa 13 m² i dvorište sa 4759 m², </w:t>
      </w:r>
      <w:r>
        <w:rPr>
          <w:rFonts w:cs="Arial" w:hAnsi="Arial" w:ascii="Arial"/>
          <w:szCs w:val="22"/>
          <w:u w:val="single"/>
        </w:rPr>
        <w:t>suvlasnički dio: 91/4812,</w:t>
      </w:r>
      <w:r>
        <w:rPr>
          <w:rFonts w:cs="Arial" w:hAnsi="Arial" w:ascii="Arial"/>
          <w:szCs w:val="22"/>
        </w:rPr>
        <w:t xml:space="preserve"> knjigovodstvene vrijednosti od </w:t>
      </w:r>
      <w:r>
        <w:rPr>
          <w:rFonts w:cs="Arial" w:hAnsi="Arial" w:ascii="Arial"/>
          <w:b/>
          <w:szCs w:val="22"/>
          <w:lang w:val="pl-PL"/>
        </w:rPr>
        <w:t>386.165,96 kn</w:t>
      </w:r>
      <w:r>
        <w:rPr>
          <w:rFonts w:cs="Arial" w:hAnsi="Arial" w:ascii="Arial"/>
          <w:szCs w:val="22"/>
          <w:lang w:val="pl-PL"/>
        </w:rPr>
        <w:t>, koja se vrijednost iskazuje na početnoj stečajnoj bilanci sa danom 23.1.2018., u odnosu na koju se nekretninu predlaže se donošenje odluke o izradi procjene po ovlaštenom vještaku,</w:t>
      </w:r>
    </w:p>
    <w:p w:rsidRDefault="00F6278D" w:rsidP="00F6278D" w:rsidR="00F6278D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b/>
          <w:i/>
          <w:szCs w:val="22"/>
          <w:lang w:val="pl-PL"/>
        </w:rPr>
        <w:t>Prilog 1:</w:t>
      </w:r>
      <w:r>
        <w:rPr>
          <w:rFonts w:cs="Arial" w:hAnsi="Arial" w:ascii="Arial"/>
          <w:szCs w:val="22"/>
          <w:lang w:val="pl-PL"/>
        </w:rPr>
        <w:t xml:space="preserve"> ZK izvadak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numPr>
          <w:ilvl w:val="0"/>
          <w:numId w:val="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potraživanje s osnove pretplate PDV-a u iznosu od 6.077,78 kn, koja pretplata uvidom u kartice odnosi se na razdoblje od 2007-2009, te je obzirom na protek vremena za navedeno potraživanje nastupila zastara prava na naplatu i ista se na dan 23.1.2018. iskazuje u iznosu od </w:t>
      </w:r>
      <w:r>
        <w:rPr>
          <w:rFonts w:cs="Arial" w:hAnsi="Arial" w:ascii="Arial"/>
          <w:b/>
          <w:szCs w:val="22"/>
          <w:lang w:val="pl-PL"/>
        </w:rPr>
        <w:t>0,00 kn.</w:t>
      </w:r>
    </w:p>
    <w:p w:rsidRDefault="00F6278D" w:rsidP="00F6278D" w:rsidR="00F6278D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numPr>
          <w:ilvl w:val="0"/>
          <w:numId w:val="3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b/>
          <w:szCs w:val="22"/>
          <w:lang w:val="pl-PL"/>
        </w:rPr>
        <w:t>Obveze na dan 23.1.2018.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F6278D" w:rsidP="00F6278D" w:rsidR="00F6278D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Do izrade ovog izvješća ukupno su zaprimljene 2 tražbine stečajnih vjerovnika u ukupnom iznosu od </w:t>
      </w:r>
      <w:r>
        <w:rPr>
          <w:rFonts w:cs="Arial" w:hAnsi="Arial" w:ascii="Arial"/>
          <w:b/>
        </w:rPr>
        <w:t>375.877,61 kn</w:t>
      </w:r>
      <w:r>
        <w:rPr>
          <w:rFonts w:cs="Arial" w:hAnsi="Arial" w:ascii="Arial"/>
        </w:rPr>
        <w:t xml:space="preserve">, koje su tražbine po stečajnom upravitelju priznate u cijelosti i svrstane u tražbine II. višeg isplatnog reda. </w:t>
      </w:r>
    </w:p>
    <w:p w:rsidRDefault="00F6278D" w:rsidP="00F6278D" w:rsidR="00F6278D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Arial" w:hAnsi="Arial" w:ascii="Arial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b/>
          <w:szCs w:val="22"/>
          <w:lang w:val="pl-PL"/>
        </w:rPr>
        <w:t>III.  Prijedlozi stečajnog upravitelja</w:t>
      </w: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</w:p>
    <w:p w:rsidRDefault="00F6278D" w:rsidP="00F6278D" w:rsidR="00F6278D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>Stečajni upravitelj predlaže da stečajni vjerovnici na izvještajnom ročištu donesu slijedeće odluke:</w:t>
      </w:r>
    </w:p>
    <w:p w:rsidRDefault="00F6278D" w:rsidP="00F6278D" w:rsidR="00F6278D">
      <w:pPr>
        <w:numPr>
          <w:ilvl w:val="0"/>
          <w:numId w:val="5"/>
        </w:num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 xml:space="preserve">prihvaća se ovo izvješće stečajnog upravitelja i dosad poduzete radnje, </w:t>
      </w:r>
    </w:p>
    <w:p w:rsidRDefault="00F6278D" w:rsidP="00F6278D" w:rsidR="00F6278D">
      <w:pPr>
        <w:numPr>
          <w:ilvl w:val="0"/>
          <w:numId w:val="5"/>
        </w:num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>daje se suglasnost da se pristupi procjeni nekretnine po ovlaštenom sudskom vještaku, te unovčenju sukladno Stečajnom zakonu.</w:t>
      </w:r>
    </w:p>
    <w:p w:rsidRDefault="00F6278D" w:rsidP="00F6278D" w:rsidR="00F6278D">
      <w:pPr>
        <w:spacing w:lineRule="auto" w:line="288"/>
        <w:jc w:val="right"/>
        <w:rPr>
          <w:rFonts w:cs="Arial" w:hAnsi="Arial" w:ascii="Arial"/>
          <w:szCs w:val="22"/>
          <w:lang w:val="hr-HR"/>
        </w:rPr>
      </w:pPr>
    </w:p>
    <w:p w:rsidRDefault="00F6278D" w:rsidP="00F6278D" w:rsidR="00F6278D">
      <w:pPr>
        <w:spacing w:lineRule="auto" w:line="288"/>
        <w:jc w:val="right"/>
        <w:rPr>
          <w:rFonts w:cs="Arial" w:hAnsi="Arial" w:ascii="Arial"/>
          <w:szCs w:val="22"/>
          <w:lang w:val="hr-HR"/>
        </w:rPr>
      </w:pPr>
    </w:p>
    <w:p w:rsidRDefault="00F6278D" w:rsidP="00F6278D" w:rsidR="00F6278D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hr-HR"/>
        </w:rPr>
        <w:t xml:space="preserve">               Stečajni upravitelj Anđelko Stankus</w:t>
      </w:r>
    </w:p>
    <w:p w:rsidRDefault="00F51B8B" w:rsidR="00F51B8B"/>
    <w:sectPr w:rsidR="00F51B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175CD"/>
    <w:multiLevelType w:val="hybridMultilevel"/>
    <w:tmpl w:val="FA5AE436"/>
    <w:lvl w:tplc="9DBCDB98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7CF8089D"/>
    <w:multiLevelType w:val="hybridMultilevel"/>
    <w:tmpl w:val="22602F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278D"/>
    <w:rsid w:val="001B616D"/>
    <w:rsid w:val="00F51B8B"/>
    <w:rsid w:val="00F6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278D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6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16D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1B616D"/>
    <w:rPr>
      <w:rFonts w:cs="Arial" w:eastAsia="SimSun" w:hAnsi="Arial" w:ascii="Arial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1B616D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1B616D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278D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6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16D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1B616D"/>
    <w:rPr>
      <w:rFonts w:ascii="Arial" w:cs="Arial" w:eastAsia="SimSun" w:hAnsi="Arial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1B616D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1B616D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93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4481</properties:Characters>
  <properties:Lines>133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2018-05-09T12:34:00Z</dcterms:created>
  <dc:creator>Vesna Dragišić</dc:creator>
  <cp:lastModifiedBy>Vesna Dragišić</cp:lastModifiedBy>
  <dcterms:modified xmlns:xsi="http://www.w3.org/2001/XMLSchema-instance" xsi:type="dcterms:W3CDTF">2018-05-10T07:15:00Z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St-106/2018-4 / Podnesak - Izvješće stečajnog upravitelja (ANĐELKO STANKUS IZVJEŠĆE.doc.docx)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